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77518A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D8F">
        <w:rPr>
          <w:bCs/>
          <w:noProof w:val="0"/>
          <w:sz w:val="24"/>
          <w:szCs w:val="24"/>
        </w:rPr>
        <w:t>1</w:t>
      </w:r>
      <w:r w:rsidR="0036459E">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615C6">
        <w:rPr>
          <w:bCs/>
          <w:noProof w:val="0"/>
          <w:sz w:val="24"/>
          <w:szCs w:val="24"/>
        </w:rPr>
        <w:t>2007489</w:t>
      </w:r>
    </w:p>
    <w:p w14:paraId="11776FA6" w14:textId="66281F5B" w:rsidR="00A209D6" w:rsidRPr="00465587" w:rsidRDefault="00C55D8F" w:rsidP="00C55D8F">
      <w:pPr>
        <w:pStyle w:val="Header"/>
        <w:tabs>
          <w:tab w:val="right" w:pos="9639"/>
        </w:tabs>
        <w:rPr>
          <w:rFonts w:eastAsia="SimSun"/>
          <w:bCs/>
          <w:sz w:val="24"/>
          <w:szCs w:val="24"/>
          <w:lang w:eastAsia="zh-CN"/>
        </w:rPr>
      </w:pPr>
      <w:r w:rsidRPr="00C55D8F">
        <w:rPr>
          <w:rFonts w:eastAsia="SimSun"/>
          <w:bCs/>
          <w:sz w:val="24"/>
          <w:szCs w:val="24"/>
          <w:lang w:eastAsia="zh-CN"/>
        </w:rPr>
        <w:t>Online, August 17th - 28th</w:t>
      </w:r>
      <w:r>
        <w:rPr>
          <w:rFonts w:eastAsia="SimSun"/>
          <w:bCs/>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82F64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216F" w:rsidRPr="0054216F">
        <w:rPr>
          <w:rFonts w:cs="Arial"/>
          <w:b/>
          <w:bCs/>
          <w:sz w:val="24"/>
        </w:rPr>
        <w:t>8.</w:t>
      </w:r>
      <w:r w:rsidR="00780246">
        <w:rPr>
          <w:rFonts w:cs="Arial"/>
          <w:b/>
          <w:bCs/>
          <w:sz w:val="24"/>
        </w:rPr>
        <w:t>6</w:t>
      </w:r>
      <w:r w:rsidR="0054216F" w:rsidRPr="0054216F">
        <w:rPr>
          <w:rFonts w:cs="Arial"/>
          <w:b/>
          <w:bCs/>
          <w:sz w:val="24"/>
        </w:rPr>
        <w:t>.</w:t>
      </w:r>
      <w:r w:rsidR="00780246">
        <w:rPr>
          <w:rFonts w:cs="Arial"/>
          <w:b/>
          <w:bCs/>
          <w:sz w:val="24"/>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9312E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0246">
        <w:rPr>
          <w:rFonts w:ascii="Arial" w:hAnsi="Arial" w:cs="Arial"/>
          <w:b/>
          <w:bCs/>
          <w:sz w:val="24"/>
        </w:rPr>
        <w:t>Small Data Transmission over pre-configured PUSCH resources</w:t>
      </w:r>
    </w:p>
    <w:p w14:paraId="1F147C23" w14:textId="5258F2A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80246" w:rsidRPr="00780246">
        <w:rPr>
          <w:rFonts w:ascii="Arial" w:hAnsi="Arial" w:cs="Arial"/>
          <w:b/>
          <w:bCs/>
          <w:sz w:val="24"/>
        </w:rPr>
        <w:t>NR_SmallData_INACTIVE</w:t>
      </w:r>
      <w:proofErr w:type="spellEnd"/>
      <w:r w:rsidR="00780246">
        <w:rPr>
          <w:rFonts w:ascii="Arial" w:hAnsi="Arial" w:cs="Arial"/>
          <w:b/>
          <w:bCs/>
          <w:sz w:val="24"/>
        </w:rPr>
        <w:t xml:space="preserve"> </w:t>
      </w:r>
      <w:r>
        <w:rPr>
          <w:rFonts w:ascii="Arial" w:hAnsi="Arial" w:cs="Arial"/>
          <w:b/>
          <w:bCs/>
          <w:sz w:val="24"/>
        </w:rPr>
        <w:t xml:space="preserve">- Release </w:t>
      </w:r>
      <w:r w:rsidR="0054216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A59F14" w14:textId="77777777" w:rsidR="00AF4E60" w:rsidRDefault="00866823" w:rsidP="00AF4E60">
      <w:pPr>
        <w:jc w:val="both"/>
      </w:pPr>
      <w:r>
        <w:t xml:space="preserve">One of the objectives of the </w:t>
      </w:r>
      <w:r w:rsidR="00780246">
        <w:t xml:space="preserve">Work Item on </w:t>
      </w:r>
      <w:r>
        <w:t xml:space="preserve">NR </w:t>
      </w:r>
      <w:r w:rsidR="00780246">
        <w:t>small data transmissions in inactive state</w:t>
      </w:r>
      <w:r>
        <w:t xml:space="preserve"> (</w:t>
      </w:r>
      <w:r w:rsidR="00780246">
        <w:t>RP-201305</w:t>
      </w:r>
      <w:r>
        <w:t xml:space="preserve">) is to </w:t>
      </w:r>
      <w:r w:rsidR="00780246">
        <w:t xml:space="preserve">specify mechanisms that enable the transmission of small data transmissions over pre-configured PUSCH resources. </w:t>
      </w:r>
    </w:p>
    <w:p w14:paraId="0ACFF18F" w14:textId="34EFDCBA" w:rsidR="00780246" w:rsidRDefault="00780246" w:rsidP="00A209D6">
      <w:r>
        <w:t>The</w:t>
      </w:r>
      <w:r w:rsidR="00191120">
        <w:t xml:space="preserve"> </w:t>
      </w:r>
      <w:r w:rsidR="00A85402">
        <w:t>WID text regarding this objective is:</w:t>
      </w:r>
    </w:p>
    <w:tbl>
      <w:tblPr>
        <w:tblStyle w:val="TableGrid"/>
        <w:tblW w:w="0" w:type="auto"/>
        <w:tblLook w:val="04A0" w:firstRow="1" w:lastRow="0" w:firstColumn="1" w:lastColumn="0" w:noHBand="0" w:noVBand="1"/>
      </w:tblPr>
      <w:tblGrid>
        <w:gridCol w:w="9631"/>
      </w:tblGrid>
      <w:tr w:rsidR="00A85402" w14:paraId="5EA6AEA1" w14:textId="77777777" w:rsidTr="00A85402">
        <w:tc>
          <w:tcPr>
            <w:tcW w:w="9631" w:type="dxa"/>
          </w:tcPr>
          <w:p w14:paraId="15A7B851" w14:textId="77777777" w:rsidR="00681D4C" w:rsidRPr="00F4590C" w:rsidRDefault="00681D4C" w:rsidP="00681D4C">
            <w:pPr>
              <w:rPr>
                <w:sz w:val="18"/>
                <w:szCs w:val="18"/>
                <w:lang w:eastAsia="zh-CN"/>
              </w:rPr>
            </w:pPr>
            <w:r w:rsidRPr="00F4590C">
              <w:rPr>
                <w:sz w:val="18"/>
                <w:szCs w:val="18"/>
                <w:lang w:eastAsia="zh-CN"/>
              </w:rPr>
              <w:t xml:space="preserve">This work item enables small data transmission in RRC_INACTIVE state as follows: </w:t>
            </w:r>
          </w:p>
          <w:p w14:paraId="5E56B63E" w14:textId="77777777" w:rsidR="00681D4C" w:rsidRPr="00F4590C" w:rsidRDefault="00681D4C" w:rsidP="00681D4C">
            <w:pPr>
              <w:pStyle w:val="ListParagraph"/>
              <w:widowControl w:val="0"/>
              <w:numPr>
                <w:ilvl w:val="0"/>
                <w:numId w:val="13"/>
              </w:numPr>
              <w:autoSpaceDN w:val="0"/>
              <w:spacing w:after="160" w:line="256" w:lineRule="auto"/>
              <w:contextualSpacing w:val="0"/>
              <w:jc w:val="both"/>
              <w:rPr>
                <w:sz w:val="18"/>
                <w:szCs w:val="18"/>
              </w:rPr>
            </w:pPr>
            <w:r w:rsidRPr="00F4590C">
              <w:rPr>
                <w:sz w:val="18"/>
                <w:szCs w:val="18"/>
              </w:rPr>
              <w:t>For the RRC_INACTIVE state:</w:t>
            </w:r>
          </w:p>
          <w:p w14:paraId="3F9A58EB" w14:textId="77777777" w:rsidR="00681D4C" w:rsidRPr="00F4590C" w:rsidRDefault="00681D4C" w:rsidP="00681D4C">
            <w:pPr>
              <w:pStyle w:val="ListParagraph"/>
              <w:widowControl w:val="0"/>
              <w:numPr>
                <w:ilvl w:val="1"/>
                <w:numId w:val="13"/>
              </w:numPr>
              <w:autoSpaceDN w:val="0"/>
              <w:spacing w:after="160" w:line="256" w:lineRule="auto"/>
              <w:contextualSpacing w:val="0"/>
              <w:jc w:val="both"/>
              <w:rPr>
                <w:sz w:val="18"/>
                <w:szCs w:val="18"/>
              </w:rPr>
            </w:pPr>
            <w:r w:rsidRPr="00F4590C">
              <w:rPr>
                <w:sz w:val="18"/>
                <w:szCs w:val="18"/>
              </w:rPr>
              <w:t>UL small data transmissions for RACH-based schemes (i.e. 2-step and 4-step RACH):</w:t>
            </w:r>
          </w:p>
          <w:p w14:paraId="1F51F488" w14:textId="77777777"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261ED1FC" w14:textId="2A4EAA65"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w:t>
            </w:r>
            <w:r w:rsidR="00A6619B">
              <w:rPr>
                <w:sz w:val="18"/>
                <w:szCs w:val="18"/>
              </w:rPr>
              <w:t>network</w:t>
            </w:r>
            <w:r w:rsidRPr="00F4590C">
              <w:rPr>
                <w:sz w:val="18"/>
                <w:szCs w:val="18"/>
              </w:rPr>
              <w:t xml:space="preserve"> configuration) [RAN2] </w:t>
            </w:r>
          </w:p>
          <w:p w14:paraId="076A7C74" w14:textId="77777777"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rPr>
            </w:pPr>
            <w:r w:rsidRPr="00F4590C">
              <w:rPr>
                <w:sz w:val="18"/>
                <w:szCs w:val="18"/>
              </w:rPr>
              <w:t>Context fetch and data forwarding (with and without anchor relocation) in INACTIVE state for RACH-based solutions [RAN2, RAN3]</w:t>
            </w:r>
          </w:p>
          <w:p w14:paraId="1B3521B2" w14:textId="77777777" w:rsidR="00681D4C" w:rsidRPr="00F4590C" w:rsidRDefault="00681D4C" w:rsidP="00681D4C">
            <w:pPr>
              <w:pStyle w:val="ListParagraph"/>
              <w:widowControl w:val="0"/>
              <w:spacing w:after="160" w:line="256" w:lineRule="auto"/>
              <w:ind w:left="1440"/>
              <w:rPr>
                <w:sz w:val="18"/>
                <w:szCs w:val="18"/>
              </w:rPr>
            </w:pPr>
            <w:r w:rsidRPr="00F4590C">
              <w:rPr>
                <w:sz w:val="18"/>
                <w:szCs w:val="18"/>
              </w:rPr>
              <w:t>Note 1: The security aspects of the above solutions should be checked with SA3</w:t>
            </w:r>
          </w:p>
          <w:p w14:paraId="605A5BF0" w14:textId="77777777" w:rsidR="00681D4C" w:rsidRPr="00F4590C" w:rsidRDefault="00681D4C" w:rsidP="00681D4C">
            <w:pPr>
              <w:pStyle w:val="ListParagraph"/>
              <w:widowControl w:val="0"/>
              <w:numPr>
                <w:ilvl w:val="1"/>
                <w:numId w:val="13"/>
              </w:numPr>
              <w:autoSpaceDN w:val="0"/>
              <w:snapToGrid w:val="0"/>
              <w:spacing w:after="160" w:line="256" w:lineRule="auto"/>
              <w:contextualSpacing w:val="0"/>
              <w:jc w:val="both"/>
              <w:rPr>
                <w:sz w:val="18"/>
                <w:szCs w:val="18"/>
                <w:lang w:eastAsia="zh-CN"/>
              </w:rPr>
            </w:pPr>
            <w:r w:rsidRPr="00F4590C">
              <w:rPr>
                <w:sz w:val="18"/>
                <w:szCs w:val="18"/>
                <w:lang w:eastAsia="zh-CN"/>
              </w:rPr>
              <w:t>Transmission of UL data on pre-configured PUSCH resources (i.e. reusing the configured grant type 1) – when TA is valid</w:t>
            </w:r>
          </w:p>
          <w:p w14:paraId="058601D3" w14:textId="77777777" w:rsidR="00681D4C" w:rsidRPr="00F4590C" w:rsidRDefault="00681D4C" w:rsidP="00681D4C">
            <w:pPr>
              <w:pStyle w:val="ListParagraph"/>
              <w:widowControl w:val="0"/>
              <w:numPr>
                <w:ilvl w:val="2"/>
                <w:numId w:val="13"/>
              </w:numPr>
              <w:autoSpaceDN w:val="0"/>
              <w:snapToGrid w:val="0"/>
              <w:spacing w:after="160" w:line="256" w:lineRule="auto"/>
              <w:contextualSpacing w:val="0"/>
              <w:jc w:val="both"/>
              <w:rPr>
                <w:sz w:val="18"/>
                <w:szCs w:val="18"/>
                <w:lang w:eastAsia="zh-CN"/>
              </w:rPr>
            </w:pPr>
            <w:r w:rsidRPr="00F4590C">
              <w:rPr>
                <w:sz w:val="18"/>
                <w:szCs w:val="18"/>
                <w:lang w:eastAsia="zh-CN"/>
              </w:rPr>
              <w:t>General procedure for small data transmission over configured grant type 1 resources from INACTIVE state [RAN2]</w:t>
            </w:r>
          </w:p>
          <w:p w14:paraId="0100A3E5" w14:textId="77777777"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lang w:eastAsia="zh-CN"/>
              </w:rPr>
            </w:pPr>
            <w:r w:rsidRPr="00F4590C">
              <w:rPr>
                <w:sz w:val="18"/>
                <w:szCs w:val="18"/>
                <w:lang w:eastAsia="zh-CN"/>
              </w:rPr>
              <w:t>Configuration of the configured grant type1 resources for small data transmission in UL for INACTIVE state [RAN2]</w:t>
            </w:r>
          </w:p>
          <w:p w14:paraId="6BF2DA1E" w14:textId="26EBA1E9" w:rsidR="00A85402" w:rsidRDefault="00681D4C" w:rsidP="00681D4C">
            <w:pPr>
              <w:widowControl w:val="0"/>
              <w:spacing w:after="160" w:line="259" w:lineRule="auto"/>
              <w:jc w:val="both"/>
              <w:rPr>
                <w:lang w:eastAsia="zh-CN"/>
              </w:rPr>
            </w:pPr>
            <w:r w:rsidRPr="00681D4C">
              <w:rPr>
                <w:sz w:val="18"/>
                <w:szCs w:val="18"/>
                <w:lang w:eastAsia="zh-CN"/>
              </w:rPr>
              <w:t xml:space="preserve">No new RRC state should be introduced in this WID. Transmission of small data in UL, subsequent transmission of small data in UL and DL and the state transition decisions should be under </w:t>
            </w:r>
            <w:r w:rsidR="00A6619B">
              <w:rPr>
                <w:sz w:val="18"/>
                <w:szCs w:val="18"/>
                <w:lang w:eastAsia="zh-CN"/>
              </w:rPr>
              <w:t>network</w:t>
            </w:r>
            <w:r w:rsidRPr="00681D4C">
              <w:rPr>
                <w:sz w:val="18"/>
                <w:szCs w:val="18"/>
                <w:lang w:eastAsia="zh-CN"/>
              </w:rPr>
              <w:t xml:space="preserve"> control.</w:t>
            </w:r>
          </w:p>
        </w:tc>
      </w:tr>
    </w:tbl>
    <w:p w14:paraId="7BDBC35D" w14:textId="733E6FA5" w:rsidR="0076479B" w:rsidRDefault="0076479B" w:rsidP="00A209D6"/>
    <w:p w14:paraId="35183E79" w14:textId="2E7BE9FF" w:rsidR="0084652D" w:rsidRDefault="00866823" w:rsidP="00A209D6">
      <w:r>
        <w:t xml:space="preserve">This paper </w:t>
      </w:r>
      <w:r w:rsidR="00EF5673">
        <w:t>discusses</w:t>
      </w:r>
      <w:r>
        <w:t xml:space="preserve"> the </w:t>
      </w:r>
      <w:r w:rsidR="0084652D">
        <w:t xml:space="preserve">design </w:t>
      </w:r>
      <w:r w:rsidR="00EF5673">
        <w:t>principles</w:t>
      </w:r>
      <w:r w:rsidR="0084652D">
        <w:t xml:space="preserve"> </w:t>
      </w:r>
      <w:r w:rsidR="006C3E40">
        <w:t>for enabling small data transmission over pre-configured PUSCH resources.</w:t>
      </w:r>
    </w:p>
    <w:p w14:paraId="2BBFF540" w14:textId="7A44BB10" w:rsidR="00A209D6" w:rsidRDefault="00A209D6" w:rsidP="00A209D6">
      <w:pPr>
        <w:pStyle w:val="Heading1"/>
      </w:pPr>
      <w:r w:rsidRPr="006E13D1">
        <w:t>2</w:t>
      </w:r>
      <w:r w:rsidRPr="006E13D1">
        <w:tab/>
      </w:r>
      <w:r w:rsidR="00B62112">
        <w:t>Discussion</w:t>
      </w:r>
    </w:p>
    <w:p w14:paraId="49BD91F3" w14:textId="77777777" w:rsidR="00F070F1" w:rsidRPr="004E4B93" w:rsidRDefault="00F070F1" w:rsidP="00E93A54">
      <w:pPr>
        <w:tabs>
          <w:tab w:val="num" w:pos="720"/>
          <w:tab w:val="num" w:pos="1440"/>
        </w:tabs>
        <w:jc w:val="both"/>
      </w:pPr>
      <w:r w:rsidRPr="004E4B93">
        <w:t>Until Rel</w:t>
      </w:r>
      <w:r>
        <w:t xml:space="preserve">ease </w:t>
      </w:r>
      <w:r w:rsidRPr="004E4B93">
        <w:t xml:space="preserve">16, an RRC_INACTIVE UE </w:t>
      </w:r>
      <w:proofErr w:type="gramStart"/>
      <w:r w:rsidRPr="004E4B93">
        <w:t>has to</w:t>
      </w:r>
      <w:proofErr w:type="gramEnd"/>
      <w:r w:rsidRPr="004E4B93">
        <w:t xml:space="preserve"> resume the connection</w:t>
      </w:r>
      <w:r>
        <w:t xml:space="preserve"> to </w:t>
      </w:r>
      <w:r w:rsidRPr="004E4B93">
        <w:t>RRC_CONNECTED</w:t>
      </w:r>
      <w:r>
        <w:t xml:space="preserve"> in order to make</w:t>
      </w:r>
      <w:r w:rsidRPr="004E4B93">
        <w:t xml:space="preserve"> any data transfer</w:t>
      </w:r>
      <w:r>
        <w:t xml:space="preserve"> in </w:t>
      </w:r>
      <w:r w:rsidRPr="004E4B93">
        <w:t>UL (MO)</w:t>
      </w:r>
      <w:r>
        <w:t xml:space="preserve"> or </w:t>
      </w:r>
      <w:r w:rsidRPr="004E4B93">
        <w:t>DL (MT)</w:t>
      </w:r>
      <w:r>
        <w:t>, by</w:t>
      </w:r>
      <w:r w:rsidRPr="004E4B93">
        <w:t xml:space="preserve"> </w:t>
      </w:r>
      <w:r>
        <w:t>performing a random access. For</w:t>
      </w:r>
      <w:r w:rsidRPr="004E4B93">
        <w:t xml:space="preserve"> small and infrequent data transfers from RRC_INACTIVE</w:t>
      </w:r>
      <w:r>
        <w:t>,</w:t>
      </w:r>
      <w:r w:rsidRPr="004E4B93">
        <w:t xml:space="preserve"> a connection resume</w:t>
      </w:r>
      <w:r>
        <w:t xml:space="preserve"> to </w:t>
      </w:r>
      <w:r w:rsidRPr="004E4B93">
        <w:t xml:space="preserve">RRC_CONNECTED and a subsequent connection suspend </w:t>
      </w:r>
      <w:r>
        <w:t xml:space="preserve">(back) </w:t>
      </w:r>
      <w:r w:rsidRPr="004E4B93">
        <w:t xml:space="preserve">to RRC_INACTIVE may occur for </w:t>
      </w:r>
      <w:proofErr w:type="gramStart"/>
      <w:r w:rsidRPr="004E4B93">
        <w:t>each and every</w:t>
      </w:r>
      <w:proofErr w:type="gramEnd"/>
      <w:r w:rsidRPr="004E4B93">
        <w:t xml:space="preserve"> data transmission</w:t>
      </w:r>
      <w:r>
        <w:t xml:space="preserve">, resulting in </w:t>
      </w:r>
      <w:r w:rsidRPr="004E4B93">
        <w:t>unnecessary UE power consumption and signalling overhead as well as increased packet latency</w:t>
      </w:r>
      <w:r>
        <w:t>. According to the WID [</w:t>
      </w:r>
      <w:hyperlink r:id="rId13" w:history="1">
        <w:r w:rsidRPr="00564852">
          <w:rPr>
            <w:rStyle w:val="Hyperlink"/>
          </w:rPr>
          <w:t>RP-193252</w:t>
        </w:r>
      </w:hyperlink>
      <w:r>
        <w:t xml:space="preserve">], enabling small data transmission (SDT) while in the </w:t>
      </w:r>
      <w:r w:rsidRPr="00597105">
        <w:t xml:space="preserve">RRC_INACTIVE </w:t>
      </w:r>
      <w:r>
        <w:t>state can avoid such drawbacks and provide a more efficient and flexible way to serve small and infrequent data.</w:t>
      </w:r>
    </w:p>
    <w:p w14:paraId="6298133C" w14:textId="73F2C9E8" w:rsidR="00681D4C" w:rsidRDefault="00681D4C" w:rsidP="00681D4C">
      <w:pPr>
        <w:tabs>
          <w:tab w:val="num" w:pos="720"/>
          <w:tab w:val="num" w:pos="1440"/>
        </w:tabs>
        <w:jc w:val="both"/>
      </w:pPr>
      <w:r>
        <w:lastRenderedPageBreak/>
        <w:t>To this end, in the WID [</w:t>
      </w:r>
      <w:hyperlink r:id="rId14" w:history="1">
        <w:r w:rsidRPr="00564852">
          <w:rPr>
            <w:rStyle w:val="Hyperlink"/>
          </w:rPr>
          <w:t>RP-193252</w:t>
        </w:r>
      </w:hyperlink>
      <w:r>
        <w:t xml:space="preserve">] both RACH-based SDT and pre-configured PUSCH based SDT schemes are considered. We note that these approaches have communalities, which we summarize in Table 1. </w:t>
      </w:r>
    </w:p>
    <w:p w14:paraId="482C45D4" w14:textId="77777777" w:rsidR="00681D4C" w:rsidRPr="007C6973" w:rsidRDefault="00681D4C" w:rsidP="00681D4C">
      <w:pPr>
        <w:jc w:val="center"/>
        <w:rPr>
          <w:b/>
        </w:rPr>
      </w:pPr>
      <w:r w:rsidRPr="007C6973">
        <w:rPr>
          <w:b/>
        </w:rPr>
        <w:t xml:space="preserve">Table </w:t>
      </w:r>
      <w:r>
        <w:rPr>
          <w:b/>
        </w:rPr>
        <w:t>1</w:t>
      </w:r>
      <w:r w:rsidRPr="007C6973">
        <w:rPr>
          <w:b/>
        </w:rPr>
        <w:t xml:space="preserve">: </w:t>
      </w:r>
      <w:r>
        <w:rPr>
          <w:b/>
        </w:rPr>
        <w:t>Common aspects to both RACH-based and Preconfigured PUSCH-based SDT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406"/>
        <w:gridCol w:w="1558"/>
        <w:gridCol w:w="5667"/>
      </w:tblGrid>
      <w:tr w:rsidR="00681D4C" w:rsidRPr="00331B17" w14:paraId="61869C18"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657FB925" w14:textId="77777777" w:rsidR="00681D4C" w:rsidRPr="00331B17" w:rsidRDefault="00681D4C" w:rsidP="00976DA6">
            <w:pPr>
              <w:jc w:val="center"/>
              <w:rPr>
                <w:b/>
                <w:sz w:val="18"/>
                <w:szCs w:val="18"/>
              </w:rPr>
            </w:pPr>
          </w:p>
        </w:tc>
        <w:tc>
          <w:tcPr>
            <w:tcW w:w="1558" w:type="dxa"/>
            <w:tcBorders>
              <w:top w:val="single" w:sz="4" w:space="0" w:color="auto"/>
              <w:left w:val="single" w:sz="4" w:space="0" w:color="auto"/>
              <w:bottom w:val="single" w:sz="4" w:space="0" w:color="auto"/>
              <w:right w:val="single" w:sz="4" w:space="0" w:color="auto"/>
            </w:tcBorders>
          </w:tcPr>
          <w:p w14:paraId="6FEEA631" w14:textId="77777777" w:rsidR="00681D4C" w:rsidRPr="00331B17" w:rsidRDefault="00681D4C" w:rsidP="00976DA6">
            <w:pPr>
              <w:jc w:val="center"/>
              <w:rPr>
                <w:b/>
                <w:sz w:val="18"/>
                <w:szCs w:val="18"/>
              </w:rPr>
            </w:pPr>
            <w:r w:rsidRPr="00331B17">
              <w:rPr>
                <w:b/>
                <w:sz w:val="18"/>
                <w:szCs w:val="18"/>
              </w:rPr>
              <w:t xml:space="preserve">Common or solution-specific </w:t>
            </w:r>
          </w:p>
        </w:tc>
        <w:tc>
          <w:tcPr>
            <w:tcW w:w="5667" w:type="dxa"/>
            <w:tcBorders>
              <w:top w:val="single" w:sz="4" w:space="0" w:color="auto"/>
              <w:left w:val="single" w:sz="4" w:space="0" w:color="auto"/>
              <w:bottom w:val="single" w:sz="4" w:space="0" w:color="auto"/>
              <w:right w:val="single" w:sz="4" w:space="0" w:color="auto"/>
            </w:tcBorders>
            <w:vAlign w:val="bottom"/>
          </w:tcPr>
          <w:p w14:paraId="316A9944" w14:textId="77777777" w:rsidR="00681D4C" w:rsidRPr="00331B17" w:rsidRDefault="00681D4C" w:rsidP="00976DA6">
            <w:pPr>
              <w:jc w:val="center"/>
              <w:rPr>
                <w:b/>
                <w:sz w:val="18"/>
                <w:szCs w:val="18"/>
              </w:rPr>
            </w:pPr>
            <w:r>
              <w:rPr>
                <w:b/>
                <w:sz w:val="18"/>
                <w:szCs w:val="18"/>
              </w:rPr>
              <w:t>Justification</w:t>
            </w:r>
          </w:p>
        </w:tc>
      </w:tr>
      <w:tr w:rsidR="00681D4C" w:rsidRPr="00331B17" w14:paraId="7766C934"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041F2F1F" w14:textId="77777777" w:rsidR="00681D4C" w:rsidRPr="00331B17" w:rsidRDefault="00681D4C" w:rsidP="00976DA6">
            <w:pPr>
              <w:rPr>
                <w:sz w:val="18"/>
                <w:szCs w:val="18"/>
              </w:rPr>
            </w:pPr>
            <w:r w:rsidRPr="00331B17">
              <w:rPr>
                <w:b/>
                <w:bCs/>
                <w:sz w:val="18"/>
                <w:szCs w:val="18"/>
              </w:rPr>
              <w:t>UE payload design</w:t>
            </w:r>
          </w:p>
        </w:tc>
        <w:tc>
          <w:tcPr>
            <w:tcW w:w="1558" w:type="dxa"/>
            <w:tcBorders>
              <w:top w:val="single" w:sz="4" w:space="0" w:color="auto"/>
              <w:left w:val="single" w:sz="4" w:space="0" w:color="auto"/>
              <w:bottom w:val="single" w:sz="4" w:space="0" w:color="auto"/>
              <w:right w:val="single" w:sz="4" w:space="0" w:color="auto"/>
            </w:tcBorders>
          </w:tcPr>
          <w:p w14:paraId="3B5F690A" w14:textId="77777777" w:rsidR="00681D4C" w:rsidRPr="00331B17" w:rsidRDefault="00681D4C" w:rsidP="00976DA6">
            <w:pPr>
              <w:jc w:val="center"/>
              <w:rPr>
                <w:sz w:val="18"/>
                <w:szCs w:val="18"/>
              </w:rPr>
            </w:pPr>
            <w:r w:rsidRPr="00331B17">
              <w:rPr>
                <w:b/>
                <w:bCs/>
                <w:sz w:val="18"/>
                <w:szCs w:val="18"/>
              </w:rPr>
              <w:t>Common</w:t>
            </w:r>
          </w:p>
        </w:tc>
        <w:tc>
          <w:tcPr>
            <w:tcW w:w="5667" w:type="dxa"/>
            <w:tcBorders>
              <w:top w:val="single" w:sz="4" w:space="0" w:color="auto"/>
              <w:left w:val="single" w:sz="4" w:space="0" w:color="auto"/>
              <w:bottom w:val="single" w:sz="4" w:space="0" w:color="auto"/>
              <w:right w:val="single" w:sz="4" w:space="0" w:color="auto"/>
            </w:tcBorders>
          </w:tcPr>
          <w:p w14:paraId="564D87FD" w14:textId="50E577E3" w:rsidR="00681D4C" w:rsidRPr="00331B17" w:rsidRDefault="00681D4C" w:rsidP="00976DA6">
            <w:pPr>
              <w:rPr>
                <w:b/>
                <w:bCs/>
                <w:sz w:val="18"/>
                <w:szCs w:val="18"/>
              </w:rPr>
            </w:pPr>
            <w:r>
              <w:rPr>
                <w:sz w:val="18"/>
                <w:szCs w:val="18"/>
              </w:rPr>
              <w:t>The</w:t>
            </w:r>
            <w:r w:rsidRPr="00331B17">
              <w:rPr>
                <w:sz w:val="18"/>
                <w:szCs w:val="18"/>
              </w:rPr>
              <w:t xml:space="preserve"> same information is required at the </w:t>
            </w:r>
            <w:r w:rsidR="00A6619B">
              <w:rPr>
                <w:sz w:val="18"/>
                <w:szCs w:val="18"/>
              </w:rPr>
              <w:t>network</w:t>
            </w:r>
            <w:r w:rsidRPr="00331B17">
              <w:rPr>
                <w:sz w:val="18"/>
                <w:szCs w:val="18"/>
              </w:rPr>
              <w:t xml:space="preserve"> irrespective of the SDT scheme</w:t>
            </w:r>
          </w:p>
        </w:tc>
      </w:tr>
      <w:tr w:rsidR="00681D4C" w:rsidRPr="00331B17" w14:paraId="45F41824"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3D41B6FE" w14:textId="272C8A98" w:rsidR="00681D4C" w:rsidRPr="00331B17" w:rsidRDefault="00A6619B" w:rsidP="00976DA6">
            <w:pPr>
              <w:rPr>
                <w:b/>
                <w:bCs/>
                <w:sz w:val="18"/>
                <w:szCs w:val="18"/>
              </w:rPr>
            </w:pPr>
            <w:r>
              <w:rPr>
                <w:b/>
                <w:bCs/>
                <w:sz w:val="18"/>
                <w:szCs w:val="18"/>
              </w:rPr>
              <w:t>Network</w:t>
            </w:r>
            <w:r w:rsidR="00681D4C" w:rsidRPr="00331B17">
              <w:rPr>
                <w:b/>
                <w:bCs/>
                <w:sz w:val="18"/>
                <w:szCs w:val="18"/>
              </w:rPr>
              <w:t xml:space="preserve"> payload </w:t>
            </w:r>
            <w:r w:rsidR="00681D4C">
              <w:rPr>
                <w:b/>
                <w:bCs/>
                <w:sz w:val="18"/>
                <w:szCs w:val="18"/>
              </w:rPr>
              <w:t>design</w:t>
            </w:r>
          </w:p>
        </w:tc>
        <w:tc>
          <w:tcPr>
            <w:tcW w:w="1558" w:type="dxa"/>
            <w:tcBorders>
              <w:top w:val="single" w:sz="4" w:space="0" w:color="auto"/>
              <w:left w:val="single" w:sz="4" w:space="0" w:color="auto"/>
              <w:bottom w:val="single" w:sz="4" w:space="0" w:color="auto"/>
              <w:right w:val="single" w:sz="4" w:space="0" w:color="auto"/>
            </w:tcBorders>
          </w:tcPr>
          <w:p w14:paraId="1D1605B8" w14:textId="77777777" w:rsidR="00681D4C" w:rsidRPr="00331B17" w:rsidRDefault="00681D4C" w:rsidP="00976DA6">
            <w:pPr>
              <w:jc w:val="center"/>
              <w:rPr>
                <w:sz w:val="18"/>
                <w:szCs w:val="18"/>
              </w:rPr>
            </w:pPr>
            <w:r w:rsidRPr="00331B17">
              <w:rPr>
                <w:b/>
                <w:bCs/>
                <w:sz w:val="18"/>
                <w:szCs w:val="18"/>
              </w:rPr>
              <w:t>Common</w:t>
            </w:r>
          </w:p>
        </w:tc>
        <w:tc>
          <w:tcPr>
            <w:tcW w:w="5667" w:type="dxa"/>
            <w:tcBorders>
              <w:top w:val="single" w:sz="4" w:space="0" w:color="auto"/>
              <w:left w:val="single" w:sz="4" w:space="0" w:color="auto"/>
              <w:bottom w:val="single" w:sz="4" w:space="0" w:color="auto"/>
              <w:right w:val="single" w:sz="4" w:space="0" w:color="auto"/>
            </w:tcBorders>
            <w:vAlign w:val="bottom"/>
          </w:tcPr>
          <w:p w14:paraId="70E61658" w14:textId="77777777" w:rsidR="00681D4C" w:rsidRPr="00331B17" w:rsidRDefault="00681D4C" w:rsidP="00976DA6">
            <w:pPr>
              <w:rPr>
                <w:b/>
                <w:bCs/>
                <w:sz w:val="18"/>
                <w:szCs w:val="18"/>
              </w:rPr>
            </w:pPr>
            <w:r>
              <w:rPr>
                <w:sz w:val="18"/>
                <w:szCs w:val="18"/>
              </w:rPr>
              <w:t xml:space="preserve">The </w:t>
            </w:r>
            <w:r w:rsidRPr="00331B17">
              <w:rPr>
                <w:sz w:val="18"/>
                <w:szCs w:val="18"/>
              </w:rPr>
              <w:t>same information is required at the UE irrespective of the SDT scheme.</w:t>
            </w:r>
          </w:p>
        </w:tc>
      </w:tr>
      <w:tr w:rsidR="00681D4C" w:rsidRPr="00331B17" w14:paraId="5D56AE56"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404F05C1" w14:textId="77777777" w:rsidR="00681D4C" w:rsidRPr="00331B17" w:rsidRDefault="00681D4C" w:rsidP="00976DA6">
            <w:pPr>
              <w:rPr>
                <w:b/>
                <w:bCs/>
                <w:sz w:val="18"/>
                <w:szCs w:val="18"/>
              </w:rPr>
            </w:pPr>
            <w:r>
              <w:rPr>
                <w:b/>
                <w:bCs/>
                <w:sz w:val="18"/>
                <w:szCs w:val="18"/>
              </w:rPr>
              <w:t>SDT c</w:t>
            </w:r>
            <w:r w:rsidRPr="00331B17">
              <w:rPr>
                <w:b/>
                <w:bCs/>
                <w:sz w:val="18"/>
                <w:szCs w:val="18"/>
              </w:rPr>
              <w:t>onfiguration upon RRC switch to RRC_INACTIVE</w:t>
            </w:r>
          </w:p>
        </w:tc>
        <w:tc>
          <w:tcPr>
            <w:tcW w:w="1558" w:type="dxa"/>
            <w:tcBorders>
              <w:top w:val="single" w:sz="4" w:space="0" w:color="auto"/>
              <w:left w:val="single" w:sz="4" w:space="0" w:color="auto"/>
              <w:bottom w:val="single" w:sz="4" w:space="0" w:color="auto"/>
              <w:right w:val="single" w:sz="4" w:space="0" w:color="auto"/>
            </w:tcBorders>
          </w:tcPr>
          <w:p w14:paraId="329C8D70" w14:textId="77777777" w:rsidR="00681D4C" w:rsidRPr="004915BF" w:rsidRDefault="00681D4C" w:rsidP="00976DA6">
            <w:pPr>
              <w:jc w:val="center"/>
              <w:rPr>
                <w:b/>
                <w:bCs/>
                <w:sz w:val="18"/>
                <w:szCs w:val="18"/>
              </w:rPr>
            </w:pPr>
            <w:r>
              <w:rPr>
                <w:b/>
                <w:bCs/>
                <w:sz w:val="18"/>
                <w:szCs w:val="18"/>
              </w:rPr>
              <w:t>Specific</w:t>
            </w:r>
          </w:p>
        </w:tc>
        <w:tc>
          <w:tcPr>
            <w:tcW w:w="5667" w:type="dxa"/>
            <w:tcBorders>
              <w:top w:val="single" w:sz="4" w:space="0" w:color="auto"/>
              <w:left w:val="single" w:sz="4" w:space="0" w:color="auto"/>
              <w:bottom w:val="single" w:sz="4" w:space="0" w:color="auto"/>
              <w:right w:val="single" w:sz="4" w:space="0" w:color="auto"/>
            </w:tcBorders>
            <w:vAlign w:val="bottom"/>
          </w:tcPr>
          <w:p w14:paraId="3AEAD0BD" w14:textId="77777777" w:rsidR="00681D4C" w:rsidRPr="004915BF" w:rsidRDefault="00681D4C" w:rsidP="00976DA6">
            <w:pPr>
              <w:rPr>
                <w:sz w:val="18"/>
                <w:szCs w:val="18"/>
              </w:rPr>
            </w:pPr>
            <w:r>
              <w:rPr>
                <w:sz w:val="18"/>
                <w:szCs w:val="18"/>
              </w:rPr>
              <w:t xml:space="preserve">The </w:t>
            </w:r>
            <w:r w:rsidRPr="004915BF">
              <w:rPr>
                <w:sz w:val="18"/>
                <w:szCs w:val="18"/>
              </w:rPr>
              <w:t xml:space="preserve">resources </w:t>
            </w:r>
            <w:r>
              <w:rPr>
                <w:sz w:val="18"/>
                <w:szCs w:val="18"/>
              </w:rPr>
              <w:t xml:space="preserve">to be configured are different </w:t>
            </w:r>
            <w:r w:rsidRPr="004915BF">
              <w:rPr>
                <w:sz w:val="18"/>
                <w:szCs w:val="18"/>
              </w:rPr>
              <w:t xml:space="preserve">(e.g. PRACH preambles required for RACH-based SDT, PUSCH resources for 2-step RACH SDT, pre-configured PUSCH resources in </w:t>
            </w:r>
            <w:r w:rsidRPr="004915BF">
              <w:t>Preconfigured PUSCH-based SDT</w:t>
            </w:r>
            <w:r w:rsidRPr="004915BF">
              <w:rPr>
                <w:sz w:val="18"/>
                <w:szCs w:val="18"/>
              </w:rPr>
              <w:t>)</w:t>
            </w:r>
          </w:p>
        </w:tc>
      </w:tr>
      <w:tr w:rsidR="00681D4C" w:rsidRPr="00331B17" w14:paraId="253CB276"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616B049D" w14:textId="77777777" w:rsidR="00681D4C" w:rsidRPr="00331B17" w:rsidRDefault="00681D4C" w:rsidP="00976DA6">
            <w:pPr>
              <w:rPr>
                <w:b/>
                <w:bCs/>
                <w:sz w:val="18"/>
                <w:szCs w:val="18"/>
              </w:rPr>
            </w:pPr>
            <w:r>
              <w:rPr>
                <w:b/>
                <w:bCs/>
                <w:sz w:val="18"/>
                <w:szCs w:val="18"/>
              </w:rPr>
              <w:t xml:space="preserve">Validity conditions </w:t>
            </w:r>
          </w:p>
        </w:tc>
        <w:tc>
          <w:tcPr>
            <w:tcW w:w="1558" w:type="dxa"/>
            <w:tcBorders>
              <w:top w:val="single" w:sz="4" w:space="0" w:color="auto"/>
              <w:left w:val="single" w:sz="4" w:space="0" w:color="auto"/>
              <w:bottom w:val="single" w:sz="4" w:space="0" w:color="auto"/>
              <w:right w:val="single" w:sz="4" w:space="0" w:color="auto"/>
            </w:tcBorders>
          </w:tcPr>
          <w:p w14:paraId="619CE009" w14:textId="77777777" w:rsidR="00681D4C" w:rsidRPr="004915BF" w:rsidRDefault="00681D4C" w:rsidP="00976DA6">
            <w:pPr>
              <w:jc w:val="center"/>
              <w:rPr>
                <w:b/>
                <w:bCs/>
                <w:sz w:val="18"/>
                <w:szCs w:val="18"/>
              </w:rPr>
            </w:pPr>
            <w:r>
              <w:rPr>
                <w:b/>
                <w:bCs/>
                <w:sz w:val="18"/>
                <w:szCs w:val="18"/>
              </w:rPr>
              <w:t>Specific</w:t>
            </w:r>
          </w:p>
        </w:tc>
        <w:tc>
          <w:tcPr>
            <w:tcW w:w="5667" w:type="dxa"/>
            <w:tcBorders>
              <w:top w:val="single" w:sz="4" w:space="0" w:color="auto"/>
              <w:left w:val="single" w:sz="4" w:space="0" w:color="auto"/>
              <w:bottom w:val="single" w:sz="4" w:space="0" w:color="auto"/>
              <w:right w:val="single" w:sz="4" w:space="0" w:color="auto"/>
            </w:tcBorders>
            <w:vAlign w:val="bottom"/>
          </w:tcPr>
          <w:p w14:paraId="5A4BB3C7" w14:textId="77777777" w:rsidR="00681D4C" w:rsidRPr="004915BF" w:rsidRDefault="00681D4C" w:rsidP="00976DA6">
            <w:pPr>
              <w:rPr>
                <w:sz w:val="18"/>
                <w:szCs w:val="18"/>
              </w:rPr>
            </w:pPr>
            <w:r>
              <w:rPr>
                <w:sz w:val="18"/>
                <w:szCs w:val="18"/>
              </w:rPr>
              <w:t>Specific to RACH vs preconfigured PUSCH schemes</w:t>
            </w:r>
          </w:p>
        </w:tc>
      </w:tr>
    </w:tbl>
    <w:p w14:paraId="0E85E3B6" w14:textId="77777777" w:rsidR="00681D4C" w:rsidRDefault="00681D4C" w:rsidP="00681D4C">
      <w:pPr>
        <w:tabs>
          <w:tab w:val="num" w:pos="720"/>
          <w:tab w:val="num" w:pos="1440"/>
        </w:tabs>
        <w:jc w:val="both"/>
      </w:pPr>
    </w:p>
    <w:p w14:paraId="1817AEE2" w14:textId="3D75440D" w:rsidR="00681D4C" w:rsidRDefault="00681D4C" w:rsidP="00681D4C">
      <w:pPr>
        <w:tabs>
          <w:tab w:val="num" w:pos="720"/>
          <w:tab w:val="num" w:pos="1440"/>
        </w:tabs>
        <w:jc w:val="both"/>
      </w:pPr>
      <w:r>
        <w:t>In our companion contribution [</w:t>
      </w:r>
      <w:hyperlink r:id="rId15" w:history="1">
        <w:r w:rsidRPr="004C5551">
          <w:rPr>
            <w:rStyle w:val="Hyperlink"/>
          </w:rPr>
          <w:t>R2-</w:t>
        </w:r>
        <w:r w:rsidR="004C5551" w:rsidRPr="004C5551">
          <w:rPr>
            <w:rStyle w:val="Hyperlink"/>
          </w:rPr>
          <w:t>2007564</w:t>
        </w:r>
      </w:hyperlink>
      <w:r>
        <w:t xml:space="preserve">] we discuss the RACH-based SDT aspects, </w:t>
      </w:r>
      <w:r w:rsidR="00A37CB7">
        <w:t xml:space="preserve">which cover the UE and </w:t>
      </w:r>
      <w:r w:rsidR="00A6619B">
        <w:t>Network</w:t>
      </w:r>
      <w:r w:rsidR="00A37CB7">
        <w:t xml:space="preserve"> payload design aspects</w:t>
      </w:r>
      <w:r w:rsidR="009E4132">
        <w:t xml:space="preserve">, </w:t>
      </w:r>
      <w:r>
        <w:t xml:space="preserve">while here we </w:t>
      </w:r>
      <w:r w:rsidR="00E67B30">
        <w:t xml:space="preserve">focus the </w:t>
      </w:r>
      <w:r>
        <w:t>discuss</w:t>
      </w:r>
      <w:r w:rsidR="00E67B30">
        <w:t>ion on</w:t>
      </w:r>
      <w:r>
        <w:t xml:space="preserve"> the pre-configure</w:t>
      </w:r>
      <w:r w:rsidR="009E4132">
        <w:t>d PUSCH-based SDT specific aspects.</w:t>
      </w:r>
    </w:p>
    <w:p w14:paraId="39C93C97" w14:textId="5EF2CDC8" w:rsidR="00D86CAE" w:rsidRDefault="00B45BF7" w:rsidP="00E93A54">
      <w:pPr>
        <w:tabs>
          <w:tab w:val="num" w:pos="720"/>
          <w:tab w:val="num" w:pos="1440"/>
        </w:tabs>
        <w:jc w:val="both"/>
      </w:pPr>
      <w:r>
        <w:t xml:space="preserve">We remark that pre-configured PUSH based SDT is </w:t>
      </w:r>
      <w:proofErr w:type="gramStart"/>
      <w:r>
        <w:t>similar to</w:t>
      </w:r>
      <w:proofErr w:type="gramEnd"/>
      <w:r>
        <w:t xml:space="preserve"> </w:t>
      </w:r>
      <w:r w:rsidR="0054249A">
        <w:t xml:space="preserve">the </w:t>
      </w:r>
      <w:r w:rsidR="00926190">
        <w:t xml:space="preserve">Preconfigured Uplink Resources (PUR) </w:t>
      </w:r>
      <w:r w:rsidR="0077365C">
        <w:t xml:space="preserve">– introduced in Release 16 for NB-IoT – which </w:t>
      </w:r>
      <w:r w:rsidR="00D241B2" w:rsidRPr="00D241B2">
        <w:t>one uplink transmission from RRC_IDLE using a preconfigured uplink resource without performing the random-access procedure</w:t>
      </w:r>
      <w:r w:rsidR="00D241B2">
        <w:t xml:space="preserve"> [TS 36.300]</w:t>
      </w:r>
      <w:r w:rsidR="00D241B2" w:rsidRPr="00D241B2">
        <w:t>.</w:t>
      </w:r>
      <w:r w:rsidR="004B16C0">
        <w:t xml:space="preserve"> </w:t>
      </w:r>
      <w:r w:rsidR="004B16C0" w:rsidRPr="004B16C0">
        <w:t xml:space="preserve">The design of </w:t>
      </w:r>
      <w:r w:rsidR="004B16C0">
        <w:t xml:space="preserve">PUR </w:t>
      </w:r>
      <w:r w:rsidR="004B16C0" w:rsidRPr="004B16C0">
        <w:t>could serve as basis for the SDT design whenever appropriate.</w:t>
      </w:r>
    </w:p>
    <w:p w14:paraId="0EE44A1C" w14:textId="56096D81" w:rsidR="00C01944" w:rsidRDefault="00C01944" w:rsidP="00E93A54">
      <w:pPr>
        <w:tabs>
          <w:tab w:val="num" w:pos="720"/>
          <w:tab w:val="num" w:pos="1440"/>
        </w:tabs>
      </w:pPr>
      <w:r>
        <w:rPr>
          <w:lang w:val="en-US"/>
        </w:rPr>
        <w:t xml:space="preserve">The pre-configured PUSCH based SDT procedure is illustrated in the </w:t>
      </w:r>
      <w:r>
        <w:t>s</w:t>
      </w:r>
      <w:r w:rsidRPr="007779F7">
        <w:t>igna</w:t>
      </w:r>
      <w:r>
        <w:t>l</w:t>
      </w:r>
      <w:r w:rsidRPr="007779F7">
        <w:t xml:space="preserve">ling diagrams </w:t>
      </w:r>
      <w:r>
        <w:t>in Fig. 1.</w:t>
      </w:r>
    </w:p>
    <w:p w14:paraId="6CE66D09" w14:textId="2F0C2A4E" w:rsidR="00313C94" w:rsidRDefault="00FE0FF5" w:rsidP="00E93A54">
      <w:pPr>
        <w:keepNext/>
        <w:jc w:val="center"/>
      </w:pPr>
      <w:r w:rsidRPr="00FE0FF5">
        <w:rPr>
          <w:noProof/>
        </w:rPr>
        <w:drawing>
          <wp:inline distT="0" distB="0" distL="0" distR="0" wp14:anchorId="085BEBEC" wp14:editId="2F74CDE9">
            <wp:extent cx="3510280" cy="2479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0280" cy="2479040"/>
                    </a:xfrm>
                    <a:prstGeom prst="rect">
                      <a:avLst/>
                    </a:prstGeom>
                    <a:noFill/>
                    <a:ln>
                      <a:noFill/>
                    </a:ln>
                  </pic:spPr>
                </pic:pic>
              </a:graphicData>
            </a:graphic>
          </wp:inline>
        </w:drawing>
      </w:r>
    </w:p>
    <w:p w14:paraId="35D72A41" w14:textId="1465F70F" w:rsidR="00D86CAE" w:rsidRDefault="00313C94" w:rsidP="00FE0FF5">
      <w:pPr>
        <w:pStyle w:val="Caption"/>
        <w:jc w:val="center"/>
        <w:rPr>
          <w:noProof/>
        </w:rPr>
      </w:pPr>
      <w:r>
        <w:t xml:space="preserve">Figure </w:t>
      </w:r>
      <w:r>
        <w:fldChar w:fldCharType="begin"/>
      </w:r>
      <w:r>
        <w:instrText>SEQ Figure \* ARABIC</w:instrText>
      </w:r>
      <w:r>
        <w:fldChar w:fldCharType="separate"/>
      </w:r>
      <w:r>
        <w:rPr>
          <w:noProof/>
        </w:rPr>
        <w:t>1</w:t>
      </w:r>
      <w:r>
        <w:fldChar w:fldCharType="end"/>
      </w:r>
      <w:r>
        <w:t>: Pre-configured PUSCH</w:t>
      </w:r>
      <w:r>
        <w:rPr>
          <w:noProof/>
        </w:rPr>
        <w:t xml:space="preserve"> based SDT.</w:t>
      </w:r>
    </w:p>
    <w:p w14:paraId="1A064C2B" w14:textId="77777777" w:rsidR="001058E5" w:rsidRDefault="000D653D" w:rsidP="003D21E9">
      <w:r>
        <w:t>In the following we discuss the procedures required for the pre-configured PUSCH-based SDT schemes.</w:t>
      </w:r>
      <w:bookmarkStart w:id="1" w:name="_Hlk47532824"/>
    </w:p>
    <w:p w14:paraId="78F37573" w14:textId="57C775FD" w:rsidR="00AF6E70" w:rsidRDefault="00606FA0" w:rsidP="00B62112">
      <w:pPr>
        <w:pStyle w:val="Heading2"/>
      </w:pPr>
      <w:r>
        <w:t>2.1</w:t>
      </w:r>
      <w:r>
        <w:tab/>
      </w:r>
      <w:r w:rsidR="00180371">
        <w:t>Payload design</w:t>
      </w:r>
      <w:r>
        <w:t xml:space="preserve"> for small data transmission over pre-configured PUSCH resources</w:t>
      </w:r>
    </w:p>
    <w:p w14:paraId="6E3F75AA" w14:textId="7A020139" w:rsidR="00741BB5" w:rsidRPr="00741BB5" w:rsidRDefault="00EB2C70" w:rsidP="00EF3A1D">
      <w:pPr>
        <w:jc w:val="both"/>
      </w:pPr>
      <w:r>
        <w:t xml:space="preserve">As highlighted in Table 1, the payload design </w:t>
      </w:r>
      <w:r w:rsidR="00F65324">
        <w:t xml:space="preserve">can be classified into UE payload (i.e. the UL payload sent by the UE) and </w:t>
      </w:r>
      <w:r w:rsidR="00A6619B">
        <w:t>Network</w:t>
      </w:r>
      <w:r w:rsidR="00F65324">
        <w:t xml:space="preserve"> payload (i.e. the DL payload sent by the </w:t>
      </w:r>
      <w:r w:rsidR="00A6619B">
        <w:t>Network</w:t>
      </w:r>
      <w:r w:rsidR="00F65324">
        <w:t xml:space="preserve"> to the UE)</w:t>
      </w:r>
      <w:r w:rsidR="00E4791B">
        <w:t xml:space="preserve"> and can be</w:t>
      </w:r>
      <w:r w:rsidR="00E0402A">
        <w:t xml:space="preserve"> made c</w:t>
      </w:r>
      <w:r w:rsidR="00E4791B">
        <w:t xml:space="preserve">ommon between RACH and </w:t>
      </w:r>
      <w:r w:rsidR="00E0402A">
        <w:t>pre-configured PUSCH SDT.</w:t>
      </w:r>
      <w:r w:rsidR="00E4791B">
        <w:t xml:space="preserve"> </w:t>
      </w:r>
      <w:r w:rsidR="00492E58">
        <w:t>In our companion contribution [</w:t>
      </w:r>
      <w:hyperlink r:id="rId17" w:history="1">
        <w:r w:rsidR="00492E58" w:rsidRPr="004C5551">
          <w:rPr>
            <w:rStyle w:val="Hyperlink"/>
          </w:rPr>
          <w:t>R2-</w:t>
        </w:r>
        <w:r w:rsidR="004C5551" w:rsidRPr="004C5551">
          <w:rPr>
            <w:rStyle w:val="Hyperlink"/>
          </w:rPr>
          <w:t>2007564</w:t>
        </w:r>
      </w:hyperlink>
      <w:r w:rsidR="00492E58">
        <w:t>] we describe the details of th</w:t>
      </w:r>
      <w:r w:rsidR="00D27317">
        <w:t>ese payloads.</w:t>
      </w:r>
    </w:p>
    <w:p w14:paraId="120B4BCA" w14:textId="127ADCED" w:rsidR="005F39C8" w:rsidRPr="005830D7" w:rsidRDefault="005F39C8" w:rsidP="005F39C8">
      <w:pPr>
        <w:rPr>
          <w:b/>
          <w:bCs/>
        </w:rPr>
      </w:pPr>
      <w:r w:rsidRPr="005830D7">
        <w:rPr>
          <w:b/>
          <w:bCs/>
        </w:rPr>
        <w:t xml:space="preserve">Proposal </w:t>
      </w:r>
      <w:r w:rsidR="003D21E9">
        <w:rPr>
          <w:b/>
          <w:bCs/>
        </w:rPr>
        <w:t>1</w:t>
      </w:r>
      <w:r w:rsidRPr="005830D7">
        <w:rPr>
          <w:b/>
          <w:bCs/>
        </w:rPr>
        <w:t xml:space="preserve">: </w:t>
      </w:r>
      <w:r w:rsidR="00B96A43" w:rsidRPr="005830D7">
        <w:rPr>
          <w:b/>
          <w:bCs/>
        </w:rPr>
        <w:t xml:space="preserve">The </w:t>
      </w:r>
      <w:r w:rsidR="00FD5773" w:rsidRPr="005830D7">
        <w:rPr>
          <w:b/>
          <w:bCs/>
        </w:rPr>
        <w:t>design of the small data trans</w:t>
      </w:r>
      <w:bookmarkStart w:id="2" w:name="_GoBack"/>
      <w:bookmarkEnd w:id="2"/>
      <w:r w:rsidR="00FD5773" w:rsidRPr="005830D7">
        <w:rPr>
          <w:b/>
          <w:bCs/>
        </w:rPr>
        <w:t>mission payload</w:t>
      </w:r>
      <w:r w:rsidR="001058E5">
        <w:rPr>
          <w:b/>
          <w:bCs/>
        </w:rPr>
        <w:t xml:space="preserve"> for pre-configured PUSCH</w:t>
      </w:r>
      <w:r w:rsidR="00FD5773" w:rsidRPr="005830D7">
        <w:rPr>
          <w:b/>
          <w:bCs/>
        </w:rPr>
        <w:t xml:space="preserve"> should follow </w:t>
      </w:r>
      <w:r w:rsidR="005830D7" w:rsidRPr="005830D7">
        <w:rPr>
          <w:b/>
          <w:bCs/>
        </w:rPr>
        <w:t>the same design as the RACH-based schemes.</w:t>
      </w:r>
    </w:p>
    <w:bookmarkEnd w:id="1"/>
    <w:p w14:paraId="4A53A0E5" w14:textId="2EB2FF90" w:rsidR="00741BB5" w:rsidRDefault="00741BB5" w:rsidP="00741BB5">
      <w:pPr>
        <w:pStyle w:val="Heading2"/>
      </w:pPr>
      <w:r>
        <w:lastRenderedPageBreak/>
        <w:t>2.2</w:t>
      </w:r>
      <w:r>
        <w:tab/>
      </w:r>
      <w:r w:rsidR="00180371">
        <w:t xml:space="preserve">Procedure to configure </w:t>
      </w:r>
      <w:r>
        <w:t>pre-configured PUSCH</w:t>
      </w:r>
      <w:r w:rsidR="00E0503B">
        <w:t xml:space="preserve"> based SDT</w:t>
      </w:r>
      <w:r>
        <w:t xml:space="preserve"> resources</w:t>
      </w:r>
    </w:p>
    <w:p w14:paraId="00E1CEF2" w14:textId="6342F6DA" w:rsidR="003B0FDC" w:rsidRDefault="006B5229" w:rsidP="00DB5704">
      <w:pPr>
        <w:jc w:val="both"/>
      </w:pPr>
      <w:r>
        <w:t xml:space="preserve">In </w:t>
      </w:r>
      <w:r w:rsidR="00675090">
        <w:t xml:space="preserve">the </w:t>
      </w:r>
      <w:r w:rsidR="00FC7C84">
        <w:t xml:space="preserve">PUR design, the UE </w:t>
      </w:r>
      <w:r w:rsidRPr="006B5229">
        <w:t xml:space="preserve">may request to be configured with a PUR or to have a PUR configuration released while in RRC_CONNECTED mode. The </w:t>
      </w:r>
      <w:r w:rsidR="00A6619B">
        <w:t>Network</w:t>
      </w:r>
      <w:r w:rsidR="00FC7C84">
        <w:t xml:space="preserve"> </w:t>
      </w:r>
      <w:r w:rsidR="008B114B">
        <w:t>can then d</w:t>
      </w:r>
      <w:r w:rsidRPr="006B5229">
        <w:t>ecide to configure a PUR that may be based on</w:t>
      </w:r>
      <w:r w:rsidR="00F76202">
        <w:t xml:space="preserve"> the</w:t>
      </w:r>
      <w:r w:rsidRPr="006B5229">
        <w:t xml:space="preserve"> UE's request, </w:t>
      </w:r>
      <w:r w:rsidR="00F76202">
        <w:t xml:space="preserve">the </w:t>
      </w:r>
      <w:r w:rsidRPr="006B5229">
        <w:t>UE's subscription information and/or local policy</w:t>
      </w:r>
      <w:r w:rsidR="00FD021C">
        <w:t xml:space="preserve"> [TS 36.300]</w:t>
      </w:r>
      <w:r w:rsidRPr="006B5229">
        <w:t>.</w:t>
      </w:r>
    </w:p>
    <w:p w14:paraId="1328615B" w14:textId="264FD8E4" w:rsidR="00D27317" w:rsidRDefault="00E0503B" w:rsidP="00E93A54">
      <w:pPr>
        <w:jc w:val="both"/>
      </w:pPr>
      <w:r>
        <w:t xml:space="preserve">In pre-configured PUSCH </w:t>
      </w:r>
      <w:r w:rsidR="00B54F42">
        <w:t xml:space="preserve">based SDT, the same approach for </w:t>
      </w:r>
      <w:r w:rsidR="0013243E">
        <w:t xml:space="preserve">the UE </w:t>
      </w:r>
      <w:r w:rsidR="003B0FDC">
        <w:t xml:space="preserve">requesting </w:t>
      </w:r>
      <w:r w:rsidR="0013243E">
        <w:t xml:space="preserve">the </w:t>
      </w:r>
      <w:r w:rsidR="000C5C82">
        <w:t>pre-configured PUSCH</w:t>
      </w:r>
      <w:r w:rsidR="0013243E">
        <w:t xml:space="preserve"> </w:t>
      </w:r>
      <w:r w:rsidR="005B6B6C">
        <w:t>base</w:t>
      </w:r>
      <w:r w:rsidR="001D04A0">
        <w:t>d</w:t>
      </w:r>
      <w:r w:rsidR="005B6B6C">
        <w:t xml:space="preserve"> SDT </w:t>
      </w:r>
      <w:r w:rsidR="0013243E">
        <w:t xml:space="preserve">configuration </w:t>
      </w:r>
      <w:r w:rsidR="00D46DCD">
        <w:t xml:space="preserve">and the </w:t>
      </w:r>
      <w:r w:rsidR="00A6619B">
        <w:t>Network</w:t>
      </w:r>
      <w:r w:rsidR="00D46DCD">
        <w:t xml:space="preserve"> providing a dedic</w:t>
      </w:r>
      <w:r w:rsidR="00B54F42">
        <w:t>ated configuration can be followed.</w:t>
      </w:r>
      <w:r w:rsidR="00064B8C">
        <w:t xml:space="preserve"> Although, the contents </w:t>
      </w:r>
      <w:r w:rsidR="005B6B6C">
        <w:t>of the UE request should be revisited to match the design the of the pre-configured PUSCH based SDT.</w:t>
      </w:r>
    </w:p>
    <w:p w14:paraId="1E5E6151" w14:textId="013D32DA" w:rsidR="008D0951" w:rsidRPr="00E93A54" w:rsidRDefault="00B54F42" w:rsidP="00DB5704">
      <w:pPr>
        <w:jc w:val="both"/>
        <w:rPr>
          <w:b/>
          <w:bCs/>
        </w:rPr>
      </w:pPr>
      <w:r w:rsidRPr="00E93A54">
        <w:rPr>
          <w:b/>
          <w:bCs/>
        </w:rPr>
        <w:t xml:space="preserve">Proposal </w:t>
      </w:r>
      <w:r w:rsidR="003D21E9">
        <w:rPr>
          <w:b/>
          <w:bCs/>
        </w:rPr>
        <w:t>2</w:t>
      </w:r>
      <w:r w:rsidRPr="00E93A54">
        <w:rPr>
          <w:b/>
          <w:bCs/>
        </w:rPr>
        <w:t xml:space="preserve">: </w:t>
      </w:r>
      <w:r w:rsidR="001D04A0" w:rsidRPr="00E93A54">
        <w:rPr>
          <w:b/>
          <w:bCs/>
        </w:rPr>
        <w:t xml:space="preserve">The UE should be allowed to request </w:t>
      </w:r>
      <w:r w:rsidR="00CA5DF5" w:rsidRPr="00E93A54">
        <w:rPr>
          <w:b/>
          <w:bCs/>
        </w:rPr>
        <w:t xml:space="preserve">to the </w:t>
      </w:r>
      <w:r w:rsidR="00A6619B">
        <w:rPr>
          <w:b/>
          <w:bCs/>
        </w:rPr>
        <w:t>Network</w:t>
      </w:r>
      <w:r w:rsidR="00CA5DF5" w:rsidRPr="00E93A54">
        <w:rPr>
          <w:b/>
          <w:bCs/>
        </w:rPr>
        <w:t xml:space="preserve"> for a</w:t>
      </w:r>
      <w:r w:rsidR="001D04A0" w:rsidRPr="00E93A54">
        <w:rPr>
          <w:b/>
          <w:bCs/>
        </w:rPr>
        <w:t xml:space="preserve"> pre-configured PUSCH based SDT </w:t>
      </w:r>
      <w:r w:rsidR="00CA5DF5" w:rsidRPr="00E93A54">
        <w:rPr>
          <w:b/>
          <w:bCs/>
        </w:rPr>
        <w:t>resource</w:t>
      </w:r>
      <w:r w:rsidR="001058E5">
        <w:rPr>
          <w:b/>
          <w:bCs/>
        </w:rPr>
        <w:t>/configuration</w:t>
      </w:r>
      <w:r w:rsidR="00745DA7">
        <w:rPr>
          <w:b/>
          <w:bCs/>
        </w:rPr>
        <w:t>.</w:t>
      </w:r>
    </w:p>
    <w:p w14:paraId="06E36CF7" w14:textId="0FB2EADD" w:rsidR="00785856" w:rsidRDefault="004114E8" w:rsidP="00DB5704">
      <w:pPr>
        <w:jc w:val="both"/>
      </w:pPr>
      <w:r>
        <w:t xml:space="preserve">The </w:t>
      </w:r>
      <w:r w:rsidR="00A6619B">
        <w:t>network</w:t>
      </w:r>
      <w:r>
        <w:t xml:space="preserve"> can </w:t>
      </w:r>
      <w:r w:rsidR="00A83735">
        <w:t xml:space="preserve">indicate to the UE the </w:t>
      </w:r>
      <w:r>
        <w:t xml:space="preserve">pre-configured PUSCH based SDT resources </w:t>
      </w:r>
      <w:r w:rsidR="00F76202">
        <w:t>via dedicated signalling</w:t>
      </w:r>
      <w:r w:rsidR="00A83735">
        <w:t xml:space="preserve"> such as part of the RRC Release</w:t>
      </w:r>
      <w:r w:rsidR="007B4FE6">
        <w:t xml:space="preserve"> (as in PUR)</w:t>
      </w:r>
      <w:r w:rsidR="00795B3C">
        <w:t xml:space="preserve">. Alternatively, the pre-configured PUSCH based SDT resources </w:t>
      </w:r>
      <w:r w:rsidR="00A85784">
        <w:t xml:space="preserve">configuration or part of it </w:t>
      </w:r>
      <w:r w:rsidR="001058E5">
        <w:t xml:space="preserve">could </w:t>
      </w:r>
      <w:r w:rsidR="00A85784">
        <w:t>also be part of broadcast signalling</w:t>
      </w:r>
      <w:r w:rsidR="00D56C08">
        <w:t>.</w:t>
      </w:r>
      <w:r w:rsidR="007C7A8F">
        <w:t xml:space="preserve"> The </w:t>
      </w:r>
      <w:r w:rsidR="00B83BC8">
        <w:t xml:space="preserve">main </w:t>
      </w:r>
      <w:r w:rsidR="007C7A8F">
        <w:t>advantag</w:t>
      </w:r>
      <w:r w:rsidR="00B83BC8">
        <w:t>e</w:t>
      </w:r>
      <w:r w:rsidR="007C7A8F">
        <w:t xml:space="preserve"> of introducing broadcasted signalling would be </w:t>
      </w:r>
      <w:r w:rsidR="00997DB2">
        <w:t xml:space="preserve">to minimize the signalling overhead </w:t>
      </w:r>
      <w:r w:rsidR="00B83BC8">
        <w:t xml:space="preserve">associated to a change of </w:t>
      </w:r>
      <w:r w:rsidR="00AC1509">
        <w:t xml:space="preserve">configuration </w:t>
      </w:r>
      <w:r w:rsidR="00997DB2">
        <w:t>that would be common to a group of UEs.</w:t>
      </w:r>
    </w:p>
    <w:p w14:paraId="4368A998" w14:textId="29E2934D" w:rsidR="00785856" w:rsidRPr="00E93A54" w:rsidRDefault="007C7A8F" w:rsidP="00DB5704">
      <w:pPr>
        <w:jc w:val="both"/>
        <w:rPr>
          <w:b/>
          <w:bCs/>
        </w:rPr>
      </w:pPr>
      <w:r w:rsidRPr="00E93A54">
        <w:rPr>
          <w:b/>
          <w:bCs/>
        </w:rPr>
        <w:t xml:space="preserve">Proposal </w:t>
      </w:r>
      <w:r w:rsidR="003D21E9">
        <w:rPr>
          <w:b/>
          <w:bCs/>
        </w:rPr>
        <w:t>3</w:t>
      </w:r>
      <w:r w:rsidRPr="00E93A54">
        <w:rPr>
          <w:b/>
          <w:bCs/>
        </w:rPr>
        <w:t xml:space="preserve">: </w:t>
      </w:r>
      <w:r w:rsidR="00AC1509" w:rsidRPr="00E93A54">
        <w:rPr>
          <w:b/>
          <w:bCs/>
        </w:rPr>
        <w:t>RAN2 should consider if the pre-configured PUSCH based SDT resource configuration can be</w:t>
      </w:r>
      <w:r w:rsidR="001D793F" w:rsidRPr="00E93A54">
        <w:rPr>
          <w:b/>
          <w:bCs/>
        </w:rPr>
        <w:t xml:space="preserve"> indicated to the UEs based on</w:t>
      </w:r>
      <w:r w:rsidR="001058E5">
        <w:rPr>
          <w:b/>
          <w:bCs/>
        </w:rPr>
        <w:t xml:space="preserve"> both,</w:t>
      </w:r>
      <w:r w:rsidR="001D793F" w:rsidRPr="00E93A54">
        <w:rPr>
          <w:b/>
          <w:bCs/>
        </w:rPr>
        <w:t xml:space="preserve"> dedicated and broadcast signalling.</w:t>
      </w:r>
      <w:r w:rsidR="00AC1509" w:rsidRPr="00E93A54">
        <w:rPr>
          <w:b/>
          <w:bCs/>
        </w:rPr>
        <w:t xml:space="preserve"> </w:t>
      </w:r>
    </w:p>
    <w:p w14:paraId="42560C96" w14:textId="252EC239" w:rsidR="00B62112" w:rsidRDefault="00B62112" w:rsidP="00B62112">
      <w:pPr>
        <w:pStyle w:val="Heading2"/>
      </w:pPr>
      <w:r>
        <w:t>2.</w:t>
      </w:r>
      <w:r w:rsidR="00741BB5">
        <w:t>3</w:t>
      </w:r>
      <w:r>
        <w:tab/>
      </w:r>
      <w:r w:rsidR="0069326F">
        <w:t>Consideration</w:t>
      </w:r>
      <w:r w:rsidR="00E95D8D">
        <w:t>s</w:t>
      </w:r>
      <w:r w:rsidR="0069326F">
        <w:t xml:space="preserve"> o</w:t>
      </w:r>
      <w:r w:rsidR="00FC3639">
        <w:t xml:space="preserve">n </w:t>
      </w:r>
      <w:r w:rsidR="0069326F">
        <w:t xml:space="preserve">the </w:t>
      </w:r>
      <w:r w:rsidR="00FC3639">
        <w:t>Timing Alignment v</w:t>
      </w:r>
      <w:r w:rsidR="00341A79">
        <w:t>alidity</w:t>
      </w:r>
    </w:p>
    <w:p w14:paraId="295638A3" w14:textId="2E652565" w:rsidR="007F0EF1" w:rsidRDefault="007A61B7" w:rsidP="00192D6F">
      <w:pPr>
        <w:jc w:val="both"/>
      </w:pPr>
      <w:r>
        <w:t>In the</w:t>
      </w:r>
      <w:r w:rsidR="00425DB2">
        <w:t xml:space="preserve"> WID, it is highlighted that </w:t>
      </w:r>
      <w:r>
        <w:rPr>
          <w:color w:val="000000"/>
        </w:rPr>
        <w:t xml:space="preserve">the transmission of UL data over pre-configured PUSCH resources </w:t>
      </w:r>
      <w:r w:rsidR="00425DB2">
        <w:rPr>
          <w:color w:val="000000"/>
        </w:rPr>
        <w:t>has</w:t>
      </w:r>
      <w:r>
        <w:rPr>
          <w:color w:val="000000"/>
        </w:rPr>
        <w:t xml:space="preserve"> the caveat that the UE must have a valid timing </w:t>
      </w:r>
      <w:r w:rsidR="001058E5">
        <w:rPr>
          <w:color w:val="000000"/>
        </w:rPr>
        <w:t>alignment</w:t>
      </w:r>
      <w:r w:rsidR="00511C76">
        <w:rPr>
          <w:color w:val="000000"/>
        </w:rPr>
        <w:t xml:space="preserve">, which is in-line with the </w:t>
      </w:r>
      <w:r w:rsidR="0033366D">
        <w:rPr>
          <w:color w:val="000000"/>
        </w:rPr>
        <w:t>PUR design</w:t>
      </w:r>
      <w:r w:rsidR="00511C76">
        <w:rPr>
          <w:color w:val="000000"/>
        </w:rPr>
        <w:t xml:space="preserve"> [TS 36.300]</w:t>
      </w:r>
      <w:r w:rsidR="0033366D">
        <w:rPr>
          <w:color w:val="000000"/>
        </w:rPr>
        <w:t>.</w:t>
      </w:r>
      <w:r w:rsidR="00511C76">
        <w:rPr>
          <w:color w:val="000000"/>
        </w:rPr>
        <w:t xml:space="preserve"> </w:t>
      </w:r>
      <w:r>
        <w:rPr>
          <w:color w:val="000000"/>
        </w:rPr>
        <w:t>This is a needed assumption, otherwise: (i) the</w:t>
      </w:r>
      <w:r w:rsidR="00425DB2">
        <w:rPr>
          <w:color w:val="000000"/>
        </w:rPr>
        <w:t xml:space="preserve"> pre-configured</w:t>
      </w:r>
      <w:r>
        <w:rPr>
          <w:color w:val="000000"/>
        </w:rPr>
        <w:t xml:space="preserve"> PUSCH resource needs to be configured with a time guard band </w:t>
      </w:r>
      <w:r w:rsidR="00192D6F">
        <w:rPr>
          <w:color w:val="000000"/>
        </w:rPr>
        <w:t xml:space="preserve">large enough </w:t>
      </w:r>
      <w:r>
        <w:rPr>
          <w:color w:val="000000"/>
        </w:rPr>
        <w:t>to cope with any</w:t>
      </w:r>
      <w:r w:rsidR="00192D6F">
        <w:rPr>
          <w:color w:val="000000"/>
        </w:rPr>
        <w:t xml:space="preserve"> eventual</w:t>
      </w:r>
      <w:r>
        <w:rPr>
          <w:color w:val="000000"/>
        </w:rPr>
        <w:t xml:space="preserve"> UL transmission timing misalignment due to the UE’s movement; and (ii) the </w:t>
      </w:r>
      <w:proofErr w:type="spellStart"/>
      <w:r>
        <w:rPr>
          <w:color w:val="000000"/>
        </w:rPr>
        <w:t>gNB</w:t>
      </w:r>
      <w:proofErr w:type="spellEnd"/>
      <w:r>
        <w:rPr>
          <w:color w:val="000000"/>
        </w:rPr>
        <w:t xml:space="preserve"> receiver needs to be able to extract from the UE’s PUSCH transmission, the information that allows it to cope with any timing misalignments during the PUSCH decoding process</w:t>
      </w:r>
      <w:r w:rsidR="00425DB2">
        <w:rPr>
          <w:color w:val="000000"/>
        </w:rPr>
        <w:t>.</w:t>
      </w:r>
    </w:p>
    <w:p w14:paraId="773A5664" w14:textId="7958710D" w:rsidR="00306890" w:rsidRDefault="007F0EF1" w:rsidP="00E45433">
      <w:pPr>
        <w:jc w:val="both"/>
      </w:pPr>
      <w:r>
        <w:t>A</w:t>
      </w:r>
      <w:r w:rsidR="00CA7294">
        <w:t xml:space="preserve"> UE in RRC</w:t>
      </w:r>
      <w:r w:rsidR="007E3388">
        <w:t>_CONNECTED</w:t>
      </w:r>
      <w:r w:rsidR="00CA7294">
        <w:t xml:space="preserve"> state</w:t>
      </w:r>
      <w:r>
        <w:t xml:space="preserve">, </w:t>
      </w:r>
      <w:r w:rsidR="002817C4">
        <w:t>is configure</w:t>
      </w:r>
      <w:r w:rsidR="00F00A16">
        <w:t>d</w:t>
      </w:r>
      <w:r w:rsidR="002817C4">
        <w:t xml:space="preserve"> by the </w:t>
      </w:r>
      <w:r w:rsidR="00F00A16">
        <w:t xml:space="preserve">RRC with </w:t>
      </w:r>
      <w:r w:rsidR="00B6242F">
        <w:t xml:space="preserve">a timer that controls for how long the MAC entity considers </w:t>
      </w:r>
      <w:r w:rsidR="000A56E8">
        <w:t xml:space="preserve">the Serving Cells associated with the </w:t>
      </w:r>
      <w:r w:rsidR="002A0274">
        <w:t xml:space="preserve">Timing Advance Group </w:t>
      </w:r>
      <w:r w:rsidR="00F32AE6">
        <w:t>to be uplink time aligned.</w:t>
      </w:r>
      <w:r w:rsidR="00045964">
        <w:t xml:space="preserve"> This timer is denoted in TS 38.321 as </w:t>
      </w:r>
      <w:proofErr w:type="spellStart"/>
      <w:r w:rsidR="00F00A16" w:rsidRPr="00045964">
        <w:rPr>
          <w:i/>
          <w:iCs/>
        </w:rPr>
        <w:t>timeAlignmentTimer</w:t>
      </w:r>
      <w:proofErr w:type="spellEnd"/>
      <w:r w:rsidR="00045964">
        <w:t>.</w:t>
      </w:r>
      <w:r w:rsidR="00F00A16">
        <w:t xml:space="preserve"> </w:t>
      </w:r>
    </w:p>
    <w:p w14:paraId="5626A45A" w14:textId="206566F7" w:rsidR="006D298A" w:rsidRDefault="00B97F93" w:rsidP="00E45433">
      <w:pPr>
        <w:jc w:val="both"/>
      </w:pPr>
      <w:r>
        <w:t xml:space="preserve">The general design </w:t>
      </w:r>
      <w:r w:rsidR="00817B48">
        <w:t>principle</w:t>
      </w:r>
      <w:r>
        <w:t xml:space="preserve"> is that if this timer expires</w:t>
      </w:r>
      <w:r w:rsidR="00E46581">
        <w:t xml:space="preserve"> then the MAC entity assu</w:t>
      </w:r>
      <w:r w:rsidR="00AF3260">
        <w:t xml:space="preserve">mes that the uplink is no longer time aligned, which in turn </w:t>
      </w:r>
      <w:r w:rsidR="00360CDC">
        <w:t xml:space="preserve">triggers </w:t>
      </w:r>
      <w:r w:rsidR="00572DF6">
        <w:t xml:space="preserve">several </w:t>
      </w:r>
      <w:r w:rsidR="00547081">
        <w:t>configuration</w:t>
      </w:r>
      <w:r w:rsidR="003B60AB">
        <w:t xml:space="preserve"> </w:t>
      </w:r>
      <w:proofErr w:type="gramStart"/>
      <w:r w:rsidR="008B6777">
        <w:t>release</w:t>
      </w:r>
      <w:proofErr w:type="gramEnd"/>
      <w:r w:rsidR="003B60AB">
        <w:t xml:space="preserve"> actions </w:t>
      </w:r>
      <w:r w:rsidR="007E3388">
        <w:t xml:space="preserve">which </w:t>
      </w:r>
      <w:r w:rsidR="003B60AB">
        <w:t>include</w:t>
      </w:r>
      <w:r w:rsidR="007E3388">
        <w:t xml:space="preserve"> also the</w:t>
      </w:r>
      <w:r w:rsidR="003B60AB">
        <w:t xml:space="preserve"> </w:t>
      </w:r>
      <w:r w:rsidR="00547081">
        <w:t>“</w:t>
      </w:r>
      <w:r w:rsidR="00547081" w:rsidRPr="00547081">
        <w:t xml:space="preserve">clear any configured downlink assignments and </w:t>
      </w:r>
      <w:r w:rsidR="00547081" w:rsidRPr="00547081">
        <w:rPr>
          <w:b/>
          <w:bCs/>
        </w:rPr>
        <w:t>configured uplink grants</w:t>
      </w:r>
      <w:r w:rsidR="00547081">
        <w:t>”.</w:t>
      </w:r>
      <w:r w:rsidR="00D64E65">
        <w:t xml:space="preserve"> </w:t>
      </w:r>
      <w:r w:rsidR="00C14A5D">
        <w:t>This</w:t>
      </w:r>
      <w:r w:rsidR="00D64E65">
        <w:t xml:space="preserve"> timer can be started or restarted upon the reception </w:t>
      </w:r>
      <w:r w:rsidR="00CA0367">
        <w:t>of a Timing Advance Command MAC CE</w:t>
      </w:r>
      <w:r w:rsidR="007E3388">
        <w:t>s</w:t>
      </w:r>
      <w:r w:rsidR="00B17883">
        <w:t xml:space="preserve"> or</w:t>
      </w:r>
      <w:r w:rsidR="007E3388">
        <w:t xml:space="preserve"> by</w:t>
      </w:r>
      <w:r w:rsidR="00B17883">
        <w:t xml:space="preserve"> a Timing Advance Command via </w:t>
      </w:r>
      <w:r w:rsidR="008B6777">
        <w:t xml:space="preserve">a </w:t>
      </w:r>
      <w:proofErr w:type="gramStart"/>
      <w:r w:rsidR="008B6777">
        <w:t>Random Access</w:t>
      </w:r>
      <w:proofErr w:type="gramEnd"/>
      <w:r w:rsidR="008B6777">
        <w:t xml:space="preserve"> Response message.</w:t>
      </w:r>
      <w:r w:rsidR="00B17883">
        <w:t xml:space="preserve"> </w:t>
      </w:r>
      <w:r w:rsidR="006D298A">
        <w:t xml:space="preserve">Furthermore, when </w:t>
      </w:r>
      <w:r w:rsidR="00D0180C">
        <w:t xml:space="preserve">the UE is transitioned by the </w:t>
      </w:r>
      <w:r w:rsidR="00A6619B">
        <w:t>network</w:t>
      </w:r>
      <w:r w:rsidR="00880F97">
        <w:t xml:space="preserve"> to RRC</w:t>
      </w:r>
      <w:r w:rsidR="007E3388">
        <w:t>_INACTIVE</w:t>
      </w:r>
      <w:r w:rsidR="00880F97">
        <w:t xml:space="preserve"> state</w:t>
      </w:r>
      <w:r w:rsidR="00255957">
        <w:t xml:space="preserve"> (</w:t>
      </w:r>
      <w:proofErr w:type="spellStart"/>
      <w:r w:rsidR="00255957" w:rsidRPr="003D21E9">
        <w:rPr>
          <w:i/>
          <w:iCs/>
        </w:rPr>
        <w:t>RRCRelease</w:t>
      </w:r>
      <w:proofErr w:type="spellEnd"/>
      <w:r w:rsidR="00255957">
        <w:t xml:space="preserve"> </w:t>
      </w:r>
      <w:r w:rsidR="006247C7">
        <w:t>with suspend configuration)</w:t>
      </w:r>
      <w:r w:rsidR="00880F97">
        <w:t xml:space="preserve">, </w:t>
      </w:r>
      <w:r w:rsidR="001C2607">
        <w:t xml:space="preserve">the </w:t>
      </w:r>
      <w:r w:rsidR="0059099C">
        <w:t>MAC ent</w:t>
      </w:r>
      <w:r w:rsidR="00D06827">
        <w:t xml:space="preserve">ity is reset </w:t>
      </w:r>
      <w:r w:rsidR="00EF34FE">
        <w:t xml:space="preserve">which will lead to the current </w:t>
      </w:r>
      <w:proofErr w:type="spellStart"/>
      <w:r w:rsidR="00EF34FE" w:rsidRPr="00045964">
        <w:rPr>
          <w:i/>
          <w:iCs/>
        </w:rPr>
        <w:t>timeAlignmentTimer</w:t>
      </w:r>
      <w:proofErr w:type="spellEnd"/>
      <w:r w:rsidR="00EF34FE">
        <w:rPr>
          <w:i/>
          <w:iCs/>
        </w:rPr>
        <w:t xml:space="preserve"> </w:t>
      </w:r>
      <w:r w:rsidR="00EF34FE" w:rsidRPr="00EF34FE">
        <w:t>(if configured) to be dropped.</w:t>
      </w:r>
    </w:p>
    <w:p w14:paraId="7A79D72A" w14:textId="60DD313D" w:rsidR="008E51EF" w:rsidRDefault="00FA6294" w:rsidP="00B14B0D">
      <w:pPr>
        <w:jc w:val="both"/>
      </w:pPr>
      <w:r>
        <w:t xml:space="preserve">If the condition to use the pre-configured PUSCH resources is to have a valid </w:t>
      </w:r>
      <w:r w:rsidR="00EA0571">
        <w:t xml:space="preserve">Timing Alignment then </w:t>
      </w:r>
      <w:r w:rsidR="006D298A">
        <w:t xml:space="preserve">it is necessary that the UE has a mechanism available, while in RRC Inactive, that allows it to keep track if the Timing Alignment is still valid. </w:t>
      </w:r>
      <w:r w:rsidR="00CD7A5D">
        <w:t xml:space="preserve">In PUR, this is </w:t>
      </w:r>
      <w:r w:rsidR="00B14B0D">
        <w:t>based on the monitoring of the cell RSRP</w:t>
      </w:r>
      <w:r w:rsidR="00061A56">
        <w:t xml:space="preserve"> level;</w:t>
      </w:r>
      <w:r w:rsidR="00B14B0D">
        <w:t xml:space="preserve"> while an alternative approach </w:t>
      </w:r>
      <w:r w:rsidR="00064B14">
        <w:t>c</w:t>
      </w:r>
      <w:r w:rsidR="00B14B0D">
        <w:t xml:space="preserve">ould be to </w:t>
      </w:r>
      <w:r w:rsidR="006D298A">
        <w:t>have this mechanism to be timer based as in RRC</w:t>
      </w:r>
      <w:r w:rsidR="007E3388">
        <w:t xml:space="preserve">_CONNECTED </w:t>
      </w:r>
      <w:r w:rsidR="006D298A">
        <w:t xml:space="preserve">state, which </w:t>
      </w:r>
      <w:r w:rsidR="00B14B0D">
        <w:t xml:space="preserve">would </w:t>
      </w:r>
      <w:r w:rsidR="006D298A">
        <w:t xml:space="preserve">require </w:t>
      </w:r>
      <w:r w:rsidR="00EA0571">
        <w:t>the</w:t>
      </w:r>
      <w:r w:rsidR="006D298A">
        <w:t xml:space="preserve"> introduction of a </w:t>
      </w:r>
      <w:proofErr w:type="spellStart"/>
      <w:r w:rsidR="00EA0571" w:rsidRPr="00045964">
        <w:rPr>
          <w:i/>
          <w:iCs/>
        </w:rPr>
        <w:t>timeAlignmentTimer</w:t>
      </w:r>
      <w:proofErr w:type="spellEnd"/>
      <w:r w:rsidR="00EA0571">
        <w:rPr>
          <w:i/>
          <w:iCs/>
        </w:rPr>
        <w:t xml:space="preserve"> </w:t>
      </w:r>
      <w:r w:rsidR="006D298A">
        <w:rPr>
          <w:i/>
          <w:iCs/>
        </w:rPr>
        <w:t xml:space="preserve">(or equivalent timer) </w:t>
      </w:r>
      <w:r w:rsidR="007E3388">
        <w:t>to</w:t>
      </w:r>
      <w:r w:rsidR="007E3388" w:rsidRPr="00EA0571">
        <w:t xml:space="preserve"> </w:t>
      </w:r>
      <w:r w:rsidR="006D298A">
        <w:t xml:space="preserve">be available </w:t>
      </w:r>
      <w:r w:rsidR="007E3388">
        <w:t xml:space="preserve">for </w:t>
      </w:r>
      <w:r w:rsidR="006D298A">
        <w:t xml:space="preserve">the </w:t>
      </w:r>
      <w:r w:rsidR="008E51EF">
        <w:t xml:space="preserve">UE </w:t>
      </w:r>
      <w:r w:rsidR="007E3388">
        <w:t xml:space="preserve">that </w:t>
      </w:r>
      <w:r w:rsidR="008E51EF">
        <w:t>transitions to RRC</w:t>
      </w:r>
      <w:r w:rsidR="007E3388">
        <w:t xml:space="preserve">_INACTIVE </w:t>
      </w:r>
      <w:r w:rsidR="008E51EF">
        <w:t>state.</w:t>
      </w:r>
    </w:p>
    <w:p w14:paraId="5345FE72" w14:textId="63792519" w:rsidR="008E51EF" w:rsidRPr="00D36E35" w:rsidRDefault="008E51EF" w:rsidP="00E93A54">
      <w:pPr>
        <w:jc w:val="both"/>
        <w:rPr>
          <w:b/>
          <w:bCs/>
        </w:rPr>
      </w:pPr>
      <w:r w:rsidRPr="00D36E35">
        <w:rPr>
          <w:b/>
          <w:bCs/>
        </w:rPr>
        <w:t xml:space="preserve">Proposal </w:t>
      </w:r>
      <w:r w:rsidR="003D21E9">
        <w:rPr>
          <w:b/>
          <w:bCs/>
        </w:rPr>
        <w:t>4</w:t>
      </w:r>
      <w:r w:rsidRPr="00D36E35">
        <w:rPr>
          <w:b/>
          <w:bCs/>
        </w:rPr>
        <w:t>:</w:t>
      </w:r>
      <w:r w:rsidR="00110669">
        <w:rPr>
          <w:b/>
          <w:bCs/>
        </w:rPr>
        <w:t xml:space="preserve"> </w:t>
      </w:r>
      <w:r w:rsidR="0039076F">
        <w:rPr>
          <w:b/>
          <w:bCs/>
        </w:rPr>
        <w:t xml:space="preserve">RAN2 </w:t>
      </w:r>
      <w:r w:rsidR="006F793B">
        <w:rPr>
          <w:b/>
          <w:bCs/>
        </w:rPr>
        <w:t xml:space="preserve">should discuss </w:t>
      </w:r>
      <w:r w:rsidR="007E3388">
        <w:rPr>
          <w:b/>
          <w:bCs/>
        </w:rPr>
        <w:t xml:space="preserve">the </w:t>
      </w:r>
      <w:r w:rsidR="006F793B">
        <w:rPr>
          <w:b/>
          <w:bCs/>
        </w:rPr>
        <w:t>criteria</w:t>
      </w:r>
      <w:r w:rsidR="007E3388">
        <w:rPr>
          <w:b/>
          <w:bCs/>
        </w:rPr>
        <w:t>(s) to</w:t>
      </w:r>
      <w:r w:rsidR="006F793B">
        <w:rPr>
          <w:b/>
          <w:bCs/>
        </w:rPr>
        <w:t xml:space="preserve"> be </w:t>
      </w:r>
      <w:r w:rsidR="00061A56">
        <w:rPr>
          <w:b/>
          <w:bCs/>
        </w:rPr>
        <w:t xml:space="preserve">applied to </w:t>
      </w:r>
      <w:r w:rsidR="007E3388">
        <w:rPr>
          <w:b/>
          <w:bCs/>
        </w:rPr>
        <w:t xml:space="preserve">track </w:t>
      </w:r>
      <w:r w:rsidR="00061A56">
        <w:rPr>
          <w:b/>
          <w:bCs/>
        </w:rPr>
        <w:t>if the UE’s current Timing Alignment is valid</w:t>
      </w:r>
      <w:r w:rsidR="007E3388">
        <w:rPr>
          <w:b/>
          <w:bCs/>
        </w:rPr>
        <w:t xml:space="preserve"> in RRC_INACTIVE</w:t>
      </w:r>
      <w:r w:rsidR="00061A56">
        <w:rPr>
          <w:b/>
          <w:bCs/>
        </w:rPr>
        <w:t>.</w:t>
      </w:r>
    </w:p>
    <w:p w14:paraId="4E873DF3" w14:textId="5509729A" w:rsidR="007E3388" w:rsidRDefault="00DD1444" w:rsidP="00E93A54">
      <w:pPr>
        <w:jc w:val="both"/>
      </w:pPr>
      <w:r w:rsidRPr="00E93A54">
        <w:t>In PUR, whenever the T</w:t>
      </w:r>
      <w:r w:rsidR="00CB5029" w:rsidRPr="00E93A54">
        <w:t>A validity conditions are not met</w:t>
      </w:r>
      <w:r w:rsidR="00CB5029">
        <w:t xml:space="preserve"> (e.</w:t>
      </w:r>
      <w:r w:rsidR="00E85160">
        <w:t>g.</w:t>
      </w:r>
      <w:r w:rsidR="00CB5029">
        <w:t xml:space="preserve"> the cell RSRP level is below a </w:t>
      </w:r>
      <w:r w:rsidR="0018309A">
        <w:t xml:space="preserve">configured threshold) </w:t>
      </w:r>
      <w:r w:rsidR="00B96F62">
        <w:t>then the PUR configur</w:t>
      </w:r>
      <w:r w:rsidR="00E85160">
        <w:t>ed resources are</w:t>
      </w:r>
      <w:r w:rsidR="00B96F62">
        <w:t xml:space="preserve"> released</w:t>
      </w:r>
      <w:r w:rsidR="002355F7">
        <w:t xml:space="preserve">, which implies significant signalling overhead to </w:t>
      </w:r>
      <w:r w:rsidR="007E3388">
        <w:t>re-establish</w:t>
      </w:r>
      <w:r w:rsidR="002355F7">
        <w:t xml:space="preserve"> </w:t>
      </w:r>
      <w:r w:rsidR="00AA7D68">
        <w:t>the PUR configuration.</w:t>
      </w:r>
      <w:r w:rsidR="00693FC2">
        <w:t xml:space="preserve"> </w:t>
      </w:r>
      <w:r w:rsidR="00AA7D68">
        <w:t xml:space="preserve">In order to minimize signalling overhead, </w:t>
      </w:r>
      <w:r w:rsidR="00693FC2">
        <w:t xml:space="preserve">alternative </w:t>
      </w:r>
      <w:r w:rsidR="007E3388">
        <w:t xml:space="preserve">mechanisms </w:t>
      </w:r>
      <w:r w:rsidR="00693FC2">
        <w:t>to the</w:t>
      </w:r>
      <w:r w:rsidR="00D753D6">
        <w:t xml:space="preserve"> </w:t>
      </w:r>
      <w:r w:rsidR="00E73397">
        <w:t xml:space="preserve">PUR </w:t>
      </w:r>
      <w:r w:rsidR="00D753D6">
        <w:t>design</w:t>
      </w:r>
      <w:r w:rsidR="00693FC2">
        <w:t xml:space="preserve"> </w:t>
      </w:r>
      <w:r w:rsidR="007E3388">
        <w:t xml:space="preserve">should be evaluated </w:t>
      </w:r>
      <w:r w:rsidR="00693FC2">
        <w:t xml:space="preserve">when dealing with </w:t>
      </w:r>
      <w:r w:rsidR="00746D62">
        <w:t>pre-configured PUSCH resources</w:t>
      </w:r>
      <w:r w:rsidR="00693FC2">
        <w:t xml:space="preserve"> when the TA validity conditions are not met.</w:t>
      </w:r>
    </w:p>
    <w:p w14:paraId="01DFC9AA" w14:textId="0D89A526" w:rsidR="003C14BD" w:rsidRPr="00E93A54" w:rsidRDefault="003C14BD" w:rsidP="00E93A54">
      <w:pPr>
        <w:jc w:val="both"/>
        <w:rPr>
          <w:b/>
          <w:bCs/>
        </w:rPr>
      </w:pPr>
      <w:r w:rsidRPr="00E93A54">
        <w:rPr>
          <w:b/>
          <w:bCs/>
        </w:rPr>
        <w:t xml:space="preserve">Proposal </w:t>
      </w:r>
      <w:r w:rsidR="003D21E9">
        <w:rPr>
          <w:b/>
          <w:bCs/>
        </w:rPr>
        <w:t>5</w:t>
      </w:r>
      <w:r w:rsidRPr="00E93A54">
        <w:rPr>
          <w:b/>
          <w:bCs/>
        </w:rPr>
        <w:t xml:space="preserve">: </w:t>
      </w:r>
      <w:r w:rsidR="00286CC0">
        <w:rPr>
          <w:b/>
          <w:bCs/>
        </w:rPr>
        <w:t>D</w:t>
      </w:r>
      <w:r w:rsidRPr="00E93A54">
        <w:rPr>
          <w:b/>
          <w:bCs/>
        </w:rPr>
        <w:t xml:space="preserve">iscuss </w:t>
      </w:r>
      <w:r w:rsidR="00E93A54" w:rsidRPr="00E93A54">
        <w:rPr>
          <w:b/>
          <w:bCs/>
        </w:rPr>
        <w:t>how to deal with the pre-configured PUSCH resources when the TA validity conditions are not met.</w:t>
      </w:r>
      <w:r w:rsidR="00746D62" w:rsidRPr="00E93A54">
        <w:rPr>
          <w:b/>
          <w:bCs/>
        </w:rPr>
        <w:t xml:space="preserve"> </w:t>
      </w:r>
    </w:p>
    <w:p w14:paraId="5D7815E0" w14:textId="5DD5CB85" w:rsidR="004970CD" w:rsidRDefault="004970CD" w:rsidP="004970CD">
      <w:pPr>
        <w:pStyle w:val="Heading2"/>
      </w:pPr>
      <w:r>
        <w:lastRenderedPageBreak/>
        <w:t>2.4</w:t>
      </w:r>
      <w:r>
        <w:tab/>
      </w:r>
      <w:r w:rsidR="00197A55">
        <w:t xml:space="preserve">Considerations on the </w:t>
      </w:r>
      <w:r w:rsidR="00B624D9">
        <w:t>o</w:t>
      </w:r>
      <w:r>
        <w:t xml:space="preserve">peration </w:t>
      </w:r>
      <w:r w:rsidR="006D1B7E">
        <w:t>i</w:t>
      </w:r>
      <w:r>
        <w:t xml:space="preserve">n </w:t>
      </w:r>
      <w:r w:rsidR="002201A1">
        <w:t xml:space="preserve">beamforming scenarios </w:t>
      </w:r>
    </w:p>
    <w:p w14:paraId="67E1E536" w14:textId="6DED977D" w:rsidR="00AA71C9" w:rsidRDefault="00AA71C9" w:rsidP="00D77496">
      <w:pPr>
        <w:jc w:val="both"/>
      </w:pPr>
      <w:r>
        <w:t xml:space="preserve">In </w:t>
      </w:r>
      <w:r w:rsidR="00A6619B">
        <w:t>d</w:t>
      </w:r>
      <w:r>
        <w:t>eployments such as FR2 and above</w:t>
      </w:r>
      <w:r w:rsidR="00514898">
        <w:t xml:space="preserve"> frequencies</w:t>
      </w:r>
      <w:r>
        <w:t xml:space="preserve">, </w:t>
      </w:r>
      <w:r w:rsidR="00456239">
        <w:t xml:space="preserve">the </w:t>
      </w:r>
      <w:r w:rsidR="00A6619B">
        <w:t>network</w:t>
      </w:r>
      <w:r w:rsidR="00456239">
        <w:t xml:space="preserve"> </w:t>
      </w:r>
      <w:r w:rsidR="00A6619B">
        <w:t xml:space="preserve">infrastructure </w:t>
      </w:r>
      <w:r w:rsidR="00E63F3C">
        <w:t>can</w:t>
      </w:r>
      <w:r w:rsidR="00456239">
        <w:t xml:space="preserve"> have </w:t>
      </w:r>
      <w:proofErr w:type="spellStart"/>
      <w:r w:rsidR="00456239">
        <w:t>analog</w:t>
      </w:r>
      <w:proofErr w:type="spellEnd"/>
      <w:r w:rsidR="00456239">
        <w:t xml:space="preserve"> or </w:t>
      </w:r>
      <w:r w:rsidR="0025363C">
        <w:t>digital-</w:t>
      </w:r>
      <w:proofErr w:type="spellStart"/>
      <w:r w:rsidR="00E63F3C">
        <w:t>analog</w:t>
      </w:r>
      <w:proofErr w:type="spellEnd"/>
      <w:r w:rsidR="00E63F3C">
        <w:t xml:space="preserve"> </w:t>
      </w:r>
      <w:r w:rsidR="0025363C">
        <w:t xml:space="preserve">hybrid RF </w:t>
      </w:r>
      <w:r w:rsidR="00514898">
        <w:t xml:space="preserve">frontend, which </w:t>
      </w:r>
      <w:r w:rsidR="0025363C">
        <w:t>will lim</w:t>
      </w:r>
      <w:r w:rsidR="00514898">
        <w:t xml:space="preserve">it the spatial directions that </w:t>
      </w:r>
      <w:r w:rsidR="007555F4">
        <w:t xml:space="preserve">a </w:t>
      </w:r>
      <w:proofErr w:type="spellStart"/>
      <w:r w:rsidR="007555F4">
        <w:t>gNB</w:t>
      </w:r>
      <w:proofErr w:type="spellEnd"/>
      <w:r w:rsidR="007555F4">
        <w:t xml:space="preserve"> can receive at a given time instant.</w:t>
      </w:r>
      <w:r w:rsidR="00A61A9A">
        <w:t xml:space="preserve"> </w:t>
      </w:r>
      <w:r w:rsidR="00385D04">
        <w:t xml:space="preserve">This aspect </w:t>
      </w:r>
      <w:r w:rsidR="00A61A9A">
        <w:t>should be</w:t>
      </w:r>
      <w:r w:rsidR="00385D04">
        <w:t xml:space="preserve"> considered</w:t>
      </w:r>
      <w:r w:rsidR="00A61A9A">
        <w:t xml:space="preserve"> into the pre-configured </w:t>
      </w:r>
      <w:r w:rsidR="00A61A9A" w:rsidRPr="00A61A9A">
        <w:t xml:space="preserve">PUSCH </w:t>
      </w:r>
      <w:r w:rsidR="00A61A9A">
        <w:t>based SDT.</w:t>
      </w:r>
    </w:p>
    <w:p w14:paraId="2223A81B" w14:textId="08EA5F73" w:rsidR="00AB262F" w:rsidRDefault="004757CB" w:rsidP="00D77496">
      <w:pPr>
        <w:jc w:val="both"/>
        <w:rPr>
          <w:color w:val="000000"/>
        </w:rPr>
      </w:pPr>
      <w:r>
        <w:t>While in</w:t>
      </w:r>
      <w:r w:rsidR="00E754F9">
        <w:t xml:space="preserve"> RACH-based small data transmission, the selection of a RACH preamble </w:t>
      </w:r>
      <w:r w:rsidR="00090EC3">
        <w:t xml:space="preserve">in a specific RACH occasion signals to the </w:t>
      </w:r>
      <w:proofErr w:type="spellStart"/>
      <w:r w:rsidR="00090EC3">
        <w:t>gNB</w:t>
      </w:r>
      <w:proofErr w:type="spellEnd"/>
      <w:r w:rsidR="00090EC3">
        <w:t xml:space="preserve"> </w:t>
      </w:r>
      <w:r w:rsidR="003674F6">
        <w:t>which Rx beam alignment to apply in order to receive the UE’s PUSCH transmission.</w:t>
      </w:r>
      <w:r w:rsidR="00A46F68">
        <w:t xml:space="preserve"> In small data transmission</w:t>
      </w:r>
      <w:r w:rsidR="001D5FED">
        <w:t>s</w:t>
      </w:r>
      <w:r w:rsidR="00A46F68">
        <w:t xml:space="preserve"> over pre-configured PUSCH resources, this indication is not present</w:t>
      </w:r>
      <w:r w:rsidR="0066787F">
        <w:t xml:space="preserve"> and therefore the </w:t>
      </w:r>
      <w:proofErr w:type="spellStart"/>
      <w:r w:rsidR="0066787F">
        <w:t>gNB</w:t>
      </w:r>
      <w:proofErr w:type="spellEnd"/>
      <w:r w:rsidR="0066787F">
        <w:t xml:space="preserve"> does not know which Rx beam alignment to apply for the reception of the UE’s PUSCH transmission.</w:t>
      </w:r>
      <w:r w:rsidR="00AB262F">
        <w:t xml:space="preserve"> </w:t>
      </w:r>
      <w:r w:rsidR="00033F07">
        <w:rPr>
          <w:color w:val="000000"/>
        </w:rPr>
        <w:t xml:space="preserve">This is the case, as no beam alignment procedures are </w:t>
      </w:r>
      <w:r w:rsidR="00D77496">
        <w:rPr>
          <w:color w:val="000000"/>
        </w:rPr>
        <w:t xml:space="preserve">in place </w:t>
      </w:r>
      <w:r w:rsidR="00286CC0">
        <w:rPr>
          <w:color w:val="000000"/>
        </w:rPr>
        <w:t xml:space="preserve">between the UE and NW </w:t>
      </w:r>
      <w:r w:rsidR="00033F07">
        <w:rPr>
          <w:color w:val="000000"/>
        </w:rPr>
        <w:t>while the UE</w:t>
      </w:r>
      <w:r w:rsidR="00D77496">
        <w:rPr>
          <w:color w:val="000000"/>
        </w:rPr>
        <w:t xml:space="preserve"> is</w:t>
      </w:r>
      <w:r w:rsidR="00033F07">
        <w:rPr>
          <w:color w:val="000000"/>
        </w:rPr>
        <w:t xml:space="preserve"> in RRC</w:t>
      </w:r>
      <w:r w:rsidR="00286CC0">
        <w:rPr>
          <w:color w:val="000000"/>
        </w:rPr>
        <w:t>_INACTIVE</w:t>
      </w:r>
      <w:r w:rsidR="00033F07">
        <w:rPr>
          <w:color w:val="000000"/>
        </w:rPr>
        <w:t xml:space="preserve"> state</w:t>
      </w:r>
      <w:r w:rsidR="00AB262F">
        <w:rPr>
          <w:color w:val="000000"/>
        </w:rPr>
        <w:t>.</w:t>
      </w:r>
    </w:p>
    <w:p w14:paraId="26D498D5" w14:textId="75544144" w:rsidR="00033F07" w:rsidRDefault="00033F07" w:rsidP="008620A7">
      <w:pPr>
        <w:spacing w:after="240"/>
        <w:jc w:val="both"/>
        <w:rPr>
          <w:color w:val="000000"/>
        </w:rPr>
      </w:pPr>
      <w:r>
        <w:rPr>
          <w:color w:val="000000"/>
        </w:rPr>
        <w:t xml:space="preserve">We remark that even though the condition of a valid timing alignment can mitigate in part the occurrence of Rx </w:t>
      </w:r>
      <w:proofErr w:type="spellStart"/>
      <w:r>
        <w:rPr>
          <w:color w:val="000000"/>
        </w:rPr>
        <w:t>gNB</w:t>
      </w:r>
      <w:proofErr w:type="spellEnd"/>
      <w:r>
        <w:rPr>
          <w:color w:val="000000"/>
        </w:rPr>
        <w:t xml:space="preserve"> misalignment, it cannot prevent it from occurring. An illustrative example is provided in </w:t>
      </w:r>
      <w:r>
        <w:rPr>
          <w:color w:val="000000"/>
        </w:rPr>
        <w:fldChar w:fldCharType="begin"/>
      </w:r>
      <w:r>
        <w:rPr>
          <w:color w:val="000000"/>
        </w:rPr>
        <w:instrText xml:space="preserve"> REF _Ref29299905 \h  \* MERGEFORMAT </w:instrText>
      </w:r>
      <w:r>
        <w:rPr>
          <w:color w:val="000000"/>
        </w:rPr>
      </w:r>
      <w:r>
        <w:rPr>
          <w:color w:val="000000"/>
        </w:rPr>
        <w:fldChar w:fldCharType="separate"/>
      </w:r>
      <w:r w:rsidR="00FB5D9C" w:rsidRPr="00FB5D9C">
        <w:rPr>
          <w:color w:val="000000"/>
        </w:rPr>
        <w:t>Figure 1</w:t>
      </w:r>
      <w:r>
        <w:rPr>
          <w:color w:val="000000"/>
        </w:rPr>
        <w:fldChar w:fldCharType="end"/>
      </w:r>
      <w:r>
        <w:rPr>
          <w:color w:val="000000"/>
        </w:rPr>
        <w:t xml:space="preserve">, where if the UE follows the described UE movement it keeps a valid timing alignment, while having to transition between different </w:t>
      </w:r>
      <w:proofErr w:type="spellStart"/>
      <w:r>
        <w:rPr>
          <w:color w:val="000000"/>
        </w:rPr>
        <w:t>gNB</w:t>
      </w:r>
      <w:proofErr w:type="spellEnd"/>
      <w:r>
        <w:rPr>
          <w:color w:val="000000"/>
        </w:rPr>
        <w:t xml:space="preserve"> Rx beams, which here we depict as being associated with different SSBs. Small cell deployments are also a typical example where the TA can always be considered as valid while the UE is transitioning between different </w:t>
      </w:r>
      <w:proofErr w:type="spellStart"/>
      <w:r>
        <w:rPr>
          <w:color w:val="000000"/>
        </w:rPr>
        <w:t>gNB</w:t>
      </w:r>
      <w:proofErr w:type="spellEnd"/>
      <w:r>
        <w:rPr>
          <w:color w:val="000000"/>
        </w:rPr>
        <w:t xml:space="preserve"> Rx beams. </w:t>
      </w:r>
    </w:p>
    <w:p w14:paraId="44F7E671" w14:textId="77777777" w:rsidR="00033F07" w:rsidRDefault="00033F07" w:rsidP="00033F07">
      <w:pPr>
        <w:keepNext/>
        <w:jc w:val="center"/>
      </w:pPr>
      <w:r w:rsidRPr="004F50AB">
        <w:rPr>
          <w:noProof/>
        </w:rPr>
        <w:drawing>
          <wp:inline distT="0" distB="0" distL="0" distR="0" wp14:anchorId="59AEB11C" wp14:editId="1DCD782F">
            <wp:extent cx="2879766" cy="25102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rotWithShape="1">
                    <a:blip r:embed="rId18">
                      <a:extLst>
                        <a:ext uri="{28A0092B-C50C-407E-A947-70E740481C1C}">
                          <a14:useLocalDpi xmlns:a14="http://schemas.microsoft.com/office/drawing/2010/main" val="0"/>
                        </a:ext>
                      </a:extLst>
                    </a:blip>
                    <a:srcRect l="28040" t="30383" r="5250"/>
                    <a:stretch/>
                  </pic:blipFill>
                  <pic:spPr bwMode="auto">
                    <a:xfrm>
                      <a:off x="0" y="0"/>
                      <a:ext cx="2925267" cy="2549928"/>
                    </a:xfrm>
                    <a:prstGeom prst="rect">
                      <a:avLst/>
                    </a:prstGeom>
                    <a:noFill/>
                    <a:ln>
                      <a:noFill/>
                    </a:ln>
                    <a:extLst>
                      <a:ext uri="{53640926-AAD7-44D8-BBD7-CCE9431645EC}">
                        <a14:shadowObscured xmlns:a14="http://schemas.microsoft.com/office/drawing/2010/main"/>
                      </a:ext>
                    </a:extLst>
                  </pic:spPr>
                </pic:pic>
              </a:graphicData>
            </a:graphic>
          </wp:inline>
        </w:drawing>
      </w:r>
    </w:p>
    <w:p w14:paraId="75504654" w14:textId="1D2EF11E" w:rsidR="00033F07" w:rsidRPr="00144C94" w:rsidRDefault="00033F07" w:rsidP="00033F07">
      <w:pPr>
        <w:jc w:val="center"/>
        <w:rPr>
          <w:rFonts w:eastAsiaTheme="minorEastAsia"/>
          <w:i/>
          <w:iCs/>
          <w:color w:val="000000" w:themeColor="text1"/>
          <w:sz w:val="18"/>
          <w:szCs w:val="18"/>
        </w:rPr>
      </w:pPr>
      <w:bookmarkStart w:id="3" w:name="_Ref29299905"/>
      <w:r w:rsidRPr="00144C94">
        <w:rPr>
          <w:rFonts w:eastAsiaTheme="minorEastAsia"/>
          <w:i/>
          <w:iCs/>
          <w:color w:val="000000" w:themeColor="text1"/>
          <w:sz w:val="18"/>
          <w:szCs w:val="18"/>
        </w:rPr>
        <w:t xml:space="preserve">Figure </w:t>
      </w:r>
      <w:r w:rsidRPr="00144C94">
        <w:rPr>
          <w:rFonts w:eastAsiaTheme="minorEastAsia"/>
          <w:i/>
          <w:iCs/>
          <w:color w:val="000000" w:themeColor="text1"/>
          <w:sz w:val="18"/>
          <w:szCs w:val="18"/>
        </w:rPr>
        <w:fldChar w:fldCharType="begin"/>
      </w:r>
      <w:r w:rsidRPr="00144C94">
        <w:rPr>
          <w:rFonts w:eastAsiaTheme="minorEastAsia"/>
          <w:i/>
          <w:iCs/>
          <w:color w:val="000000" w:themeColor="text1"/>
          <w:sz w:val="18"/>
          <w:szCs w:val="18"/>
        </w:rPr>
        <w:instrText xml:space="preserve"> SEQ Figure \* ARABIC </w:instrText>
      </w:r>
      <w:r w:rsidRPr="00144C94">
        <w:rPr>
          <w:rFonts w:eastAsiaTheme="minorEastAsia"/>
          <w:i/>
          <w:iCs/>
          <w:color w:val="000000" w:themeColor="text1"/>
          <w:sz w:val="18"/>
          <w:szCs w:val="18"/>
        </w:rPr>
        <w:fldChar w:fldCharType="separate"/>
      </w:r>
      <w:r w:rsidR="00313C94">
        <w:rPr>
          <w:rFonts w:eastAsiaTheme="minorEastAsia"/>
          <w:i/>
          <w:iCs/>
          <w:noProof/>
          <w:color w:val="000000" w:themeColor="text1"/>
          <w:sz w:val="18"/>
          <w:szCs w:val="18"/>
        </w:rPr>
        <w:t>2</w:t>
      </w:r>
      <w:r w:rsidRPr="00144C94">
        <w:rPr>
          <w:rFonts w:eastAsiaTheme="minorEastAsia"/>
          <w:i/>
          <w:iCs/>
          <w:color w:val="000000" w:themeColor="text1"/>
          <w:sz w:val="18"/>
          <w:szCs w:val="18"/>
        </w:rPr>
        <w:fldChar w:fldCharType="end"/>
      </w:r>
      <w:bookmarkEnd w:id="3"/>
      <w:r w:rsidRPr="00144C94">
        <w:rPr>
          <w:rFonts w:eastAsiaTheme="minorEastAsia"/>
          <w:i/>
          <w:iCs/>
          <w:color w:val="000000" w:themeColor="text1"/>
          <w:sz w:val="18"/>
          <w:szCs w:val="18"/>
        </w:rPr>
        <w:t>: UE maintaining a valid timing advance, while transitioning between SSBs.</w:t>
      </w:r>
    </w:p>
    <w:p w14:paraId="23A6F715" w14:textId="0873C524" w:rsidR="00033F07" w:rsidRPr="00BE0B76" w:rsidRDefault="00FB5D9C" w:rsidP="00FB5D9C">
      <w:pPr>
        <w:jc w:val="both"/>
        <w:rPr>
          <w:b/>
          <w:bCs/>
          <w:color w:val="000000"/>
        </w:rPr>
      </w:pPr>
      <w:r w:rsidRPr="00BE0B76">
        <w:rPr>
          <w:b/>
          <w:bCs/>
          <w:color w:val="000000"/>
        </w:rPr>
        <w:t xml:space="preserve">Observation </w:t>
      </w:r>
      <w:r w:rsidR="003D21E9">
        <w:rPr>
          <w:b/>
          <w:bCs/>
          <w:color w:val="000000"/>
        </w:rPr>
        <w:t>1</w:t>
      </w:r>
      <w:r w:rsidRPr="00BE0B76">
        <w:rPr>
          <w:b/>
          <w:bCs/>
          <w:color w:val="000000"/>
        </w:rPr>
        <w:t xml:space="preserve">: </w:t>
      </w:r>
      <w:r w:rsidR="008F7CEC" w:rsidRPr="00BE0B76">
        <w:rPr>
          <w:b/>
          <w:bCs/>
          <w:color w:val="000000"/>
        </w:rPr>
        <w:t xml:space="preserve">The condition of </w:t>
      </w:r>
      <w:r w:rsidR="00286CC0">
        <w:rPr>
          <w:b/>
          <w:bCs/>
          <w:color w:val="000000"/>
        </w:rPr>
        <w:t xml:space="preserve">a </w:t>
      </w:r>
      <w:r w:rsidR="008F7CEC" w:rsidRPr="00BE0B76">
        <w:rPr>
          <w:b/>
          <w:bCs/>
          <w:color w:val="000000"/>
        </w:rPr>
        <w:t>v</w:t>
      </w:r>
      <w:r w:rsidRPr="00BE0B76">
        <w:rPr>
          <w:b/>
          <w:bCs/>
          <w:color w:val="000000"/>
        </w:rPr>
        <w:t>alid timing alig</w:t>
      </w:r>
      <w:r w:rsidR="00493A22" w:rsidRPr="00BE0B76">
        <w:rPr>
          <w:b/>
          <w:bCs/>
          <w:color w:val="000000"/>
        </w:rPr>
        <w:t xml:space="preserve">nment </w:t>
      </w:r>
      <w:r w:rsidR="00286CC0">
        <w:rPr>
          <w:b/>
          <w:bCs/>
          <w:color w:val="000000"/>
        </w:rPr>
        <w:t xml:space="preserve">may </w:t>
      </w:r>
      <w:r w:rsidR="00493A22" w:rsidRPr="00BE0B76">
        <w:rPr>
          <w:b/>
          <w:bCs/>
          <w:color w:val="000000"/>
        </w:rPr>
        <w:t xml:space="preserve">not </w:t>
      </w:r>
      <w:r w:rsidR="00286CC0">
        <w:rPr>
          <w:b/>
          <w:bCs/>
          <w:color w:val="000000"/>
        </w:rPr>
        <w:t xml:space="preserve">be </w:t>
      </w:r>
      <w:proofErr w:type="gramStart"/>
      <w:r w:rsidR="00286CC0">
        <w:rPr>
          <w:b/>
          <w:bCs/>
          <w:color w:val="000000"/>
        </w:rPr>
        <w:t>sufficient</w:t>
      </w:r>
      <w:proofErr w:type="gramEnd"/>
      <w:r w:rsidR="00286CC0">
        <w:rPr>
          <w:b/>
          <w:bCs/>
          <w:color w:val="000000"/>
        </w:rPr>
        <w:t xml:space="preserve"> </w:t>
      </w:r>
      <w:r w:rsidR="00493A22" w:rsidRPr="00BE0B76">
        <w:rPr>
          <w:b/>
          <w:bCs/>
          <w:color w:val="000000"/>
        </w:rPr>
        <w:t xml:space="preserve">condition to </w:t>
      </w:r>
      <w:r w:rsidR="00480C90" w:rsidRPr="00BE0B76">
        <w:rPr>
          <w:b/>
          <w:bCs/>
          <w:color w:val="000000"/>
        </w:rPr>
        <w:t xml:space="preserve">prevent </w:t>
      </w:r>
      <w:proofErr w:type="spellStart"/>
      <w:r w:rsidR="00480C90" w:rsidRPr="00BE0B76">
        <w:rPr>
          <w:b/>
          <w:bCs/>
          <w:color w:val="000000"/>
        </w:rPr>
        <w:t>gNB</w:t>
      </w:r>
      <w:proofErr w:type="spellEnd"/>
      <w:r w:rsidR="00480C90" w:rsidRPr="00BE0B76">
        <w:rPr>
          <w:b/>
          <w:bCs/>
          <w:color w:val="000000"/>
        </w:rPr>
        <w:t xml:space="preserve"> </w:t>
      </w:r>
      <w:r w:rsidR="00493A22" w:rsidRPr="00BE0B76">
        <w:rPr>
          <w:b/>
          <w:bCs/>
          <w:color w:val="000000"/>
        </w:rPr>
        <w:t>Rx beam</w:t>
      </w:r>
      <w:r w:rsidR="00480C90" w:rsidRPr="00BE0B76">
        <w:rPr>
          <w:b/>
          <w:bCs/>
          <w:color w:val="000000"/>
        </w:rPr>
        <w:t xml:space="preserve"> misalignment</w:t>
      </w:r>
      <w:r w:rsidR="00493A22" w:rsidRPr="00BE0B76">
        <w:rPr>
          <w:b/>
          <w:bCs/>
          <w:color w:val="000000"/>
        </w:rPr>
        <w:t>.</w:t>
      </w:r>
    </w:p>
    <w:p w14:paraId="150E9B2D" w14:textId="357C0B31" w:rsidR="00615C04" w:rsidRPr="00636C53" w:rsidRDefault="00AC1A43" w:rsidP="00A209D6">
      <w:pPr>
        <w:rPr>
          <w:b/>
          <w:bCs/>
        </w:rPr>
      </w:pPr>
      <w:r>
        <w:rPr>
          <w:b/>
          <w:bCs/>
        </w:rPr>
        <w:t xml:space="preserve">Proposal </w:t>
      </w:r>
      <w:r w:rsidR="003D21E9">
        <w:rPr>
          <w:b/>
          <w:bCs/>
        </w:rPr>
        <w:t>6</w:t>
      </w:r>
      <w:r>
        <w:rPr>
          <w:b/>
          <w:bCs/>
        </w:rPr>
        <w:t xml:space="preserve">: </w:t>
      </w:r>
      <w:r w:rsidR="002201A1">
        <w:rPr>
          <w:b/>
          <w:bCs/>
        </w:rPr>
        <w:t xml:space="preserve">RAN2 to discuss means for tackling </w:t>
      </w:r>
      <w:proofErr w:type="spellStart"/>
      <w:r w:rsidR="002201A1" w:rsidRPr="00BE0B76">
        <w:rPr>
          <w:b/>
          <w:bCs/>
          <w:color w:val="000000"/>
        </w:rPr>
        <w:t>gNB</w:t>
      </w:r>
      <w:proofErr w:type="spellEnd"/>
      <w:r w:rsidR="002201A1" w:rsidRPr="00BE0B76">
        <w:rPr>
          <w:b/>
          <w:bCs/>
          <w:color w:val="000000"/>
        </w:rPr>
        <w:t xml:space="preserve"> Rx</w:t>
      </w:r>
      <w:r w:rsidR="002201A1">
        <w:rPr>
          <w:b/>
          <w:bCs/>
        </w:rPr>
        <w:t xml:space="preserve"> misalignment</w:t>
      </w:r>
      <w:r w:rsidR="00286CC0">
        <w:rPr>
          <w:b/>
          <w:bCs/>
        </w:rPr>
        <w:t xml:space="preserve"> in terms of pre-configured PUSCH based SDT</w:t>
      </w:r>
      <w:r w:rsidR="00144B2B">
        <w:rPr>
          <w:b/>
          <w:bCs/>
        </w:rPr>
        <w:t>.</w:t>
      </w:r>
      <w:r w:rsidR="002201A1">
        <w:rPr>
          <w:b/>
          <w:bCs/>
        </w:rPr>
        <w:t xml:space="preserve">  </w:t>
      </w:r>
    </w:p>
    <w:p w14:paraId="766D6D29" w14:textId="09E73755" w:rsidR="00A209D6" w:rsidRDefault="00A209D6" w:rsidP="00A209D6">
      <w:pPr>
        <w:pStyle w:val="Heading1"/>
      </w:pPr>
      <w:r w:rsidRPr="006E13D1">
        <w:t>3</w:t>
      </w:r>
      <w:r w:rsidRPr="006E13D1">
        <w:tab/>
      </w:r>
      <w:r w:rsidR="00B62112">
        <w:t>Conclusions</w:t>
      </w:r>
    </w:p>
    <w:p w14:paraId="70A8D258" w14:textId="72C6264C" w:rsidR="00342FE9" w:rsidRDefault="00342FE9" w:rsidP="00B62112">
      <w:bookmarkStart w:id="4" w:name="_Hlk46849223"/>
      <w:r w:rsidRPr="00342FE9">
        <w:t xml:space="preserve">In this paper we have the following </w:t>
      </w:r>
      <w:r>
        <w:t xml:space="preserve">observations and </w:t>
      </w:r>
      <w:r w:rsidRPr="00342FE9">
        <w:t>proposals</w:t>
      </w:r>
      <w:r>
        <w:t>:</w:t>
      </w:r>
    </w:p>
    <w:p w14:paraId="1B838953" w14:textId="77777777" w:rsidR="003D21E9" w:rsidRPr="005830D7" w:rsidRDefault="003D21E9" w:rsidP="003D21E9">
      <w:pPr>
        <w:rPr>
          <w:b/>
          <w:bCs/>
        </w:rPr>
      </w:pPr>
      <w:r w:rsidRPr="005830D7">
        <w:rPr>
          <w:b/>
          <w:bCs/>
        </w:rPr>
        <w:t xml:space="preserve">Proposal </w:t>
      </w:r>
      <w:r>
        <w:rPr>
          <w:b/>
          <w:bCs/>
        </w:rPr>
        <w:t>1</w:t>
      </w:r>
      <w:r w:rsidRPr="005830D7">
        <w:rPr>
          <w:b/>
          <w:bCs/>
        </w:rPr>
        <w:t>: The design of the small data transmission payload</w:t>
      </w:r>
      <w:r>
        <w:rPr>
          <w:b/>
          <w:bCs/>
        </w:rPr>
        <w:t xml:space="preserve"> for pre-configured PUSCH</w:t>
      </w:r>
      <w:r w:rsidRPr="005830D7">
        <w:rPr>
          <w:b/>
          <w:bCs/>
        </w:rPr>
        <w:t xml:space="preserve"> should follow the same design as the RACH-based schemes.</w:t>
      </w:r>
    </w:p>
    <w:p w14:paraId="2037EA48" w14:textId="77777777" w:rsidR="003D21E9" w:rsidRPr="00E93A54" w:rsidRDefault="003D21E9" w:rsidP="003D21E9">
      <w:pPr>
        <w:jc w:val="both"/>
        <w:rPr>
          <w:b/>
          <w:bCs/>
        </w:rPr>
      </w:pPr>
      <w:r w:rsidRPr="00E93A54">
        <w:rPr>
          <w:b/>
          <w:bCs/>
        </w:rPr>
        <w:t xml:space="preserve">Proposal </w:t>
      </w:r>
      <w:r>
        <w:rPr>
          <w:b/>
          <w:bCs/>
        </w:rPr>
        <w:t>2</w:t>
      </w:r>
      <w:r w:rsidRPr="00E93A54">
        <w:rPr>
          <w:b/>
          <w:bCs/>
        </w:rPr>
        <w:t xml:space="preserve">: The UE should be allowed to request to the </w:t>
      </w:r>
      <w:r>
        <w:rPr>
          <w:b/>
          <w:bCs/>
        </w:rPr>
        <w:t>Network</w:t>
      </w:r>
      <w:r w:rsidRPr="00E93A54">
        <w:rPr>
          <w:b/>
          <w:bCs/>
        </w:rPr>
        <w:t xml:space="preserve"> for a pre-configured PUSCH based SDT resource</w:t>
      </w:r>
      <w:r>
        <w:rPr>
          <w:b/>
          <w:bCs/>
        </w:rPr>
        <w:t>/configuration.</w:t>
      </w:r>
    </w:p>
    <w:p w14:paraId="1C2382D2" w14:textId="77777777" w:rsidR="003D21E9" w:rsidRPr="00E93A54" w:rsidRDefault="003D21E9" w:rsidP="003D21E9">
      <w:pPr>
        <w:jc w:val="both"/>
        <w:rPr>
          <w:b/>
          <w:bCs/>
        </w:rPr>
      </w:pPr>
      <w:r w:rsidRPr="00E93A54">
        <w:rPr>
          <w:b/>
          <w:bCs/>
        </w:rPr>
        <w:t xml:space="preserve">Proposal </w:t>
      </w:r>
      <w:r>
        <w:rPr>
          <w:b/>
          <w:bCs/>
        </w:rPr>
        <w:t>3</w:t>
      </w:r>
      <w:r w:rsidRPr="00E93A54">
        <w:rPr>
          <w:b/>
          <w:bCs/>
        </w:rPr>
        <w:t>: RAN2 should consider if the pre-configured PUSCH based SDT resource configuration can be indicated to the UEs based on</w:t>
      </w:r>
      <w:r>
        <w:rPr>
          <w:b/>
          <w:bCs/>
        </w:rPr>
        <w:t xml:space="preserve"> both,</w:t>
      </w:r>
      <w:r w:rsidRPr="00E93A54">
        <w:rPr>
          <w:b/>
          <w:bCs/>
        </w:rPr>
        <w:t xml:space="preserve"> dedicated and broadcast signalling. </w:t>
      </w:r>
    </w:p>
    <w:p w14:paraId="195E6608" w14:textId="77777777" w:rsidR="003D21E9" w:rsidRPr="00D36E35" w:rsidRDefault="003D21E9" w:rsidP="003D21E9">
      <w:pPr>
        <w:jc w:val="both"/>
        <w:rPr>
          <w:b/>
          <w:bCs/>
        </w:rPr>
      </w:pPr>
      <w:r w:rsidRPr="00D36E35">
        <w:rPr>
          <w:b/>
          <w:bCs/>
        </w:rPr>
        <w:t xml:space="preserve">Proposal </w:t>
      </w:r>
      <w:r>
        <w:rPr>
          <w:b/>
          <w:bCs/>
        </w:rPr>
        <w:t>4</w:t>
      </w:r>
      <w:r w:rsidRPr="00D36E35">
        <w:rPr>
          <w:b/>
          <w:bCs/>
        </w:rPr>
        <w:t>:</w:t>
      </w:r>
      <w:r>
        <w:rPr>
          <w:b/>
          <w:bCs/>
        </w:rPr>
        <w:t xml:space="preserve"> RAN2 should discuss the criteria(s) to be applied to track if the UE’s current Timing Alignment is valid in RRC_INACTIVE.</w:t>
      </w:r>
    </w:p>
    <w:p w14:paraId="557CF16C" w14:textId="77777777" w:rsidR="003D21E9" w:rsidRPr="00E93A54" w:rsidRDefault="003D21E9" w:rsidP="003D21E9">
      <w:pPr>
        <w:jc w:val="both"/>
        <w:rPr>
          <w:b/>
          <w:bCs/>
        </w:rPr>
      </w:pPr>
      <w:r w:rsidRPr="00E93A54">
        <w:rPr>
          <w:b/>
          <w:bCs/>
        </w:rPr>
        <w:t xml:space="preserve">Proposal </w:t>
      </w:r>
      <w:r>
        <w:rPr>
          <w:b/>
          <w:bCs/>
        </w:rPr>
        <w:t>5</w:t>
      </w:r>
      <w:r w:rsidRPr="00E93A54">
        <w:rPr>
          <w:b/>
          <w:bCs/>
        </w:rPr>
        <w:t xml:space="preserve">: </w:t>
      </w:r>
      <w:r>
        <w:rPr>
          <w:b/>
          <w:bCs/>
        </w:rPr>
        <w:t>D</w:t>
      </w:r>
      <w:r w:rsidRPr="00E93A54">
        <w:rPr>
          <w:b/>
          <w:bCs/>
        </w:rPr>
        <w:t xml:space="preserve">iscuss how to deal with the pre-configured PUSCH resources when the TA validity conditions are not met. </w:t>
      </w:r>
    </w:p>
    <w:p w14:paraId="35469A62" w14:textId="77777777" w:rsidR="003D21E9" w:rsidRPr="00BE0B76" w:rsidRDefault="003D21E9" w:rsidP="003D21E9">
      <w:pPr>
        <w:jc w:val="both"/>
        <w:rPr>
          <w:b/>
          <w:bCs/>
          <w:color w:val="000000"/>
        </w:rPr>
      </w:pPr>
      <w:r w:rsidRPr="00BE0B76">
        <w:rPr>
          <w:b/>
          <w:bCs/>
          <w:color w:val="000000"/>
        </w:rPr>
        <w:lastRenderedPageBreak/>
        <w:t xml:space="preserve">Observation </w:t>
      </w:r>
      <w:r>
        <w:rPr>
          <w:b/>
          <w:bCs/>
          <w:color w:val="000000"/>
        </w:rPr>
        <w:t>1</w:t>
      </w:r>
      <w:r w:rsidRPr="00BE0B76">
        <w:rPr>
          <w:b/>
          <w:bCs/>
          <w:color w:val="000000"/>
        </w:rPr>
        <w:t xml:space="preserve">: The condition of </w:t>
      </w:r>
      <w:r>
        <w:rPr>
          <w:b/>
          <w:bCs/>
          <w:color w:val="000000"/>
        </w:rPr>
        <w:t xml:space="preserve">a </w:t>
      </w:r>
      <w:r w:rsidRPr="00BE0B76">
        <w:rPr>
          <w:b/>
          <w:bCs/>
          <w:color w:val="000000"/>
        </w:rPr>
        <w:t xml:space="preserve">valid timing alignment </w:t>
      </w:r>
      <w:r>
        <w:rPr>
          <w:b/>
          <w:bCs/>
          <w:color w:val="000000"/>
        </w:rPr>
        <w:t xml:space="preserve">may </w:t>
      </w:r>
      <w:r w:rsidRPr="00BE0B76">
        <w:rPr>
          <w:b/>
          <w:bCs/>
          <w:color w:val="000000"/>
        </w:rPr>
        <w:t xml:space="preserve">not </w:t>
      </w:r>
      <w:r>
        <w:rPr>
          <w:b/>
          <w:bCs/>
          <w:color w:val="000000"/>
        </w:rPr>
        <w:t xml:space="preserve">be </w:t>
      </w:r>
      <w:proofErr w:type="gramStart"/>
      <w:r>
        <w:rPr>
          <w:b/>
          <w:bCs/>
          <w:color w:val="000000"/>
        </w:rPr>
        <w:t>sufficient</w:t>
      </w:r>
      <w:proofErr w:type="gramEnd"/>
      <w:r>
        <w:rPr>
          <w:b/>
          <w:bCs/>
          <w:color w:val="000000"/>
        </w:rPr>
        <w:t xml:space="preserve"> </w:t>
      </w:r>
      <w:r w:rsidRPr="00BE0B76">
        <w:rPr>
          <w:b/>
          <w:bCs/>
          <w:color w:val="000000"/>
        </w:rPr>
        <w:t xml:space="preserve">condition to prevent </w:t>
      </w:r>
      <w:proofErr w:type="spellStart"/>
      <w:r w:rsidRPr="00BE0B76">
        <w:rPr>
          <w:b/>
          <w:bCs/>
          <w:color w:val="000000"/>
        </w:rPr>
        <w:t>gNB</w:t>
      </w:r>
      <w:proofErr w:type="spellEnd"/>
      <w:r w:rsidRPr="00BE0B76">
        <w:rPr>
          <w:b/>
          <w:bCs/>
          <w:color w:val="000000"/>
        </w:rPr>
        <w:t xml:space="preserve"> Rx beam misalignment.</w:t>
      </w:r>
    </w:p>
    <w:p w14:paraId="36B82719" w14:textId="630BA170" w:rsidR="003D21E9" w:rsidRPr="003D21E9" w:rsidRDefault="003D21E9" w:rsidP="00B62112">
      <w:pPr>
        <w:rPr>
          <w:b/>
          <w:bCs/>
        </w:rPr>
      </w:pPr>
      <w:r>
        <w:rPr>
          <w:b/>
          <w:bCs/>
        </w:rPr>
        <w:t xml:space="preserve">Proposal 6: RAN2 to discuss means for tackling </w:t>
      </w:r>
      <w:proofErr w:type="spellStart"/>
      <w:r w:rsidRPr="00BE0B76">
        <w:rPr>
          <w:b/>
          <w:bCs/>
          <w:color w:val="000000"/>
        </w:rPr>
        <w:t>gNB</w:t>
      </w:r>
      <w:proofErr w:type="spellEnd"/>
      <w:r w:rsidRPr="00BE0B76">
        <w:rPr>
          <w:b/>
          <w:bCs/>
          <w:color w:val="000000"/>
        </w:rPr>
        <w:t xml:space="preserve"> Rx</w:t>
      </w:r>
      <w:r>
        <w:rPr>
          <w:b/>
          <w:bCs/>
        </w:rPr>
        <w:t xml:space="preserve"> misalignment in terms of pre-configured PUSCH based SDT.  </w:t>
      </w:r>
    </w:p>
    <w:bookmarkEnd w:id="4"/>
    <w:sectPr w:rsidR="003D21E9" w:rsidRPr="003D21E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B0376" w14:textId="77777777" w:rsidR="00C52EDB" w:rsidRDefault="00C52EDB">
      <w:r>
        <w:separator/>
      </w:r>
    </w:p>
  </w:endnote>
  <w:endnote w:type="continuationSeparator" w:id="0">
    <w:p w14:paraId="1E1A0961" w14:textId="77777777" w:rsidR="00C52EDB" w:rsidRDefault="00C52EDB">
      <w:r>
        <w:continuationSeparator/>
      </w:r>
    </w:p>
  </w:endnote>
  <w:endnote w:type="continuationNotice" w:id="1">
    <w:p w14:paraId="134A014A" w14:textId="77777777" w:rsidR="00C52EDB" w:rsidRDefault="00C52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0F0E6" w14:textId="77777777" w:rsidR="00C52EDB" w:rsidRDefault="00C52EDB">
      <w:r>
        <w:separator/>
      </w:r>
    </w:p>
  </w:footnote>
  <w:footnote w:type="continuationSeparator" w:id="0">
    <w:p w14:paraId="4E9EF278" w14:textId="77777777" w:rsidR="00C52EDB" w:rsidRDefault="00C52EDB">
      <w:r>
        <w:continuationSeparator/>
      </w:r>
    </w:p>
  </w:footnote>
  <w:footnote w:type="continuationNotice" w:id="1">
    <w:p w14:paraId="2D3376AB" w14:textId="77777777" w:rsidR="00C52EDB" w:rsidRDefault="00C52E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9F6757"/>
    <w:multiLevelType w:val="hybridMultilevel"/>
    <w:tmpl w:val="94A8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950165D"/>
    <w:multiLevelType w:val="hybridMultilevel"/>
    <w:tmpl w:val="22E4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A50579"/>
    <w:multiLevelType w:val="hybridMultilevel"/>
    <w:tmpl w:val="4DD451CC"/>
    <w:lvl w:ilvl="0" w:tplc="7CE273E0">
      <w:start w:val="1"/>
      <w:numFmt w:val="bullet"/>
      <w:lvlText w:val="•"/>
      <w:lvlJc w:val="left"/>
      <w:pPr>
        <w:tabs>
          <w:tab w:val="num" w:pos="720"/>
        </w:tabs>
        <w:ind w:left="720" w:hanging="360"/>
      </w:pPr>
      <w:rPr>
        <w:rFonts w:ascii="Arial" w:hAnsi="Arial" w:hint="default"/>
      </w:rPr>
    </w:lvl>
    <w:lvl w:ilvl="1" w:tplc="BA8C3316" w:tentative="1">
      <w:start w:val="1"/>
      <w:numFmt w:val="bullet"/>
      <w:lvlText w:val="•"/>
      <w:lvlJc w:val="left"/>
      <w:pPr>
        <w:tabs>
          <w:tab w:val="num" w:pos="1440"/>
        </w:tabs>
        <w:ind w:left="1440" w:hanging="360"/>
      </w:pPr>
      <w:rPr>
        <w:rFonts w:ascii="Arial" w:hAnsi="Arial" w:hint="default"/>
      </w:rPr>
    </w:lvl>
    <w:lvl w:ilvl="2" w:tplc="391C6DAA" w:tentative="1">
      <w:start w:val="1"/>
      <w:numFmt w:val="bullet"/>
      <w:lvlText w:val="•"/>
      <w:lvlJc w:val="left"/>
      <w:pPr>
        <w:tabs>
          <w:tab w:val="num" w:pos="2160"/>
        </w:tabs>
        <w:ind w:left="2160" w:hanging="360"/>
      </w:pPr>
      <w:rPr>
        <w:rFonts w:ascii="Arial" w:hAnsi="Arial" w:hint="default"/>
      </w:rPr>
    </w:lvl>
    <w:lvl w:ilvl="3" w:tplc="6C50C182" w:tentative="1">
      <w:start w:val="1"/>
      <w:numFmt w:val="bullet"/>
      <w:lvlText w:val="•"/>
      <w:lvlJc w:val="left"/>
      <w:pPr>
        <w:tabs>
          <w:tab w:val="num" w:pos="2880"/>
        </w:tabs>
        <w:ind w:left="2880" w:hanging="360"/>
      </w:pPr>
      <w:rPr>
        <w:rFonts w:ascii="Arial" w:hAnsi="Arial" w:hint="default"/>
      </w:rPr>
    </w:lvl>
    <w:lvl w:ilvl="4" w:tplc="46AC8A6C" w:tentative="1">
      <w:start w:val="1"/>
      <w:numFmt w:val="bullet"/>
      <w:lvlText w:val="•"/>
      <w:lvlJc w:val="left"/>
      <w:pPr>
        <w:tabs>
          <w:tab w:val="num" w:pos="3600"/>
        </w:tabs>
        <w:ind w:left="3600" w:hanging="360"/>
      </w:pPr>
      <w:rPr>
        <w:rFonts w:ascii="Arial" w:hAnsi="Arial" w:hint="default"/>
      </w:rPr>
    </w:lvl>
    <w:lvl w:ilvl="5" w:tplc="C3ECBCD6" w:tentative="1">
      <w:start w:val="1"/>
      <w:numFmt w:val="bullet"/>
      <w:lvlText w:val="•"/>
      <w:lvlJc w:val="left"/>
      <w:pPr>
        <w:tabs>
          <w:tab w:val="num" w:pos="4320"/>
        </w:tabs>
        <w:ind w:left="4320" w:hanging="360"/>
      </w:pPr>
      <w:rPr>
        <w:rFonts w:ascii="Arial" w:hAnsi="Arial" w:hint="default"/>
      </w:rPr>
    </w:lvl>
    <w:lvl w:ilvl="6" w:tplc="0AB662A6" w:tentative="1">
      <w:start w:val="1"/>
      <w:numFmt w:val="bullet"/>
      <w:lvlText w:val="•"/>
      <w:lvlJc w:val="left"/>
      <w:pPr>
        <w:tabs>
          <w:tab w:val="num" w:pos="5040"/>
        </w:tabs>
        <w:ind w:left="5040" w:hanging="360"/>
      </w:pPr>
      <w:rPr>
        <w:rFonts w:ascii="Arial" w:hAnsi="Arial" w:hint="default"/>
      </w:rPr>
    </w:lvl>
    <w:lvl w:ilvl="7" w:tplc="E48C60C8" w:tentative="1">
      <w:start w:val="1"/>
      <w:numFmt w:val="bullet"/>
      <w:lvlText w:val="•"/>
      <w:lvlJc w:val="left"/>
      <w:pPr>
        <w:tabs>
          <w:tab w:val="num" w:pos="5760"/>
        </w:tabs>
        <w:ind w:left="5760" w:hanging="360"/>
      </w:pPr>
      <w:rPr>
        <w:rFonts w:ascii="Arial" w:hAnsi="Arial" w:hint="default"/>
      </w:rPr>
    </w:lvl>
    <w:lvl w:ilvl="8" w:tplc="3F0E51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3"/>
  </w:num>
  <w:num w:numId="9">
    <w:abstractNumId w:val="9"/>
  </w:num>
  <w:num w:numId="10">
    <w:abstractNumId w:val="2"/>
  </w:num>
  <w:num w:numId="11">
    <w:abstractNumId w:val="6"/>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6A56"/>
    <w:rsid w:val="00021C0A"/>
    <w:rsid w:val="00023C40"/>
    <w:rsid w:val="00033397"/>
    <w:rsid w:val="00033F07"/>
    <w:rsid w:val="0003563D"/>
    <w:rsid w:val="00037284"/>
    <w:rsid w:val="00040095"/>
    <w:rsid w:val="00040CA5"/>
    <w:rsid w:val="00045964"/>
    <w:rsid w:val="0005669B"/>
    <w:rsid w:val="0006075E"/>
    <w:rsid w:val="00061A56"/>
    <w:rsid w:val="00064B14"/>
    <w:rsid w:val="00064B8C"/>
    <w:rsid w:val="00073345"/>
    <w:rsid w:val="00073C9C"/>
    <w:rsid w:val="0007798A"/>
    <w:rsid w:val="000803DB"/>
    <w:rsid w:val="00080512"/>
    <w:rsid w:val="00084A40"/>
    <w:rsid w:val="00090468"/>
    <w:rsid w:val="00090EC3"/>
    <w:rsid w:val="00094568"/>
    <w:rsid w:val="000A2FFD"/>
    <w:rsid w:val="000A56E8"/>
    <w:rsid w:val="000B7BCF"/>
    <w:rsid w:val="000C487C"/>
    <w:rsid w:val="000C49B6"/>
    <w:rsid w:val="000C522B"/>
    <w:rsid w:val="000C5C3F"/>
    <w:rsid w:val="000C5C82"/>
    <w:rsid w:val="000D58AB"/>
    <w:rsid w:val="000D653D"/>
    <w:rsid w:val="000F1D9C"/>
    <w:rsid w:val="000F5748"/>
    <w:rsid w:val="001058E5"/>
    <w:rsid w:val="00110669"/>
    <w:rsid w:val="00112F1A"/>
    <w:rsid w:val="001164C2"/>
    <w:rsid w:val="0013243E"/>
    <w:rsid w:val="00144B2B"/>
    <w:rsid w:val="00145075"/>
    <w:rsid w:val="00146D41"/>
    <w:rsid w:val="00156694"/>
    <w:rsid w:val="00167C37"/>
    <w:rsid w:val="001741A0"/>
    <w:rsid w:val="00175FA0"/>
    <w:rsid w:val="00180371"/>
    <w:rsid w:val="0018309A"/>
    <w:rsid w:val="00191120"/>
    <w:rsid w:val="00192D6F"/>
    <w:rsid w:val="00194CD0"/>
    <w:rsid w:val="00197A55"/>
    <w:rsid w:val="001B49C9"/>
    <w:rsid w:val="001C1053"/>
    <w:rsid w:val="001C23F4"/>
    <w:rsid w:val="001C2607"/>
    <w:rsid w:val="001C4F79"/>
    <w:rsid w:val="001D04A0"/>
    <w:rsid w:val="001D5FED"/>
    <w:rsid w:val="001D793F"/>
    <w:rsid w:val="001F1084"/>
    <w:rsid w:val="001F168B"/>
    <w:rsid w:val="001F7831"/>
    <w:rsid w:val="00204045"/>
    <w:rsid w:val="0020712B"/>
    <w:rsid w:val="002102CF"/>
    <w:rsid w:val="002114A4"/>
    <w:rsid w:val="002125DB"/>
    <w:rsid w:val="002201A1"/>
    <w:rsid w:val="0022606D"/>
    <w:rsid w:val="00231728"/>
    <w:rsid w:val="002323AE"/>
    <w:rsid w:val="002355F7"/>
    <w:rsid w:val="00236201"/>
    <w:rsid w:val="00241684"/>
    <w:rsid w:val="00247782"/>
    <w:rsid w:val="00250404"/>
    <w:rsid w:val="0025363C"/>
    <w:rsid w:val="00254A7B"/>
    <w:rsid w:val="00255957"/>
    <w:rsid w:val="00256A04"/>
    <w:rsid w:val="002610D8"/>
    <w:rsid w:val="0026113C"/>
    <w:rsid w:val="00273B72"/>
    <w:rsid w:val="002747EC"/>
    <w:rsid w:val="00275F5D"/>
    <w:rsid w:val="002809C8"/>
    <w:rsid w:val="002817C4"/>
    <w:rsid w:val="002855BF"/>
    <w:rsid w:val="00286CC0"/>
    <w:rsid w:val="00294EE0"/>
    <w:rsid w:val="002A0274"/>
    <w:rsid w:val="002A0EF6"/>
    <w:rsid w:val="002D00B4"/>
    <w:rsid w:val="002F0D22"/>
    <w:rsid w:val="002F5D56"/>
    <w:rsid w:val="003008E2"/>
    <w:rsid w:val="00306890"/>
    <w:rsid w:val="00311B17"/>
    <w:rsid w:val="003127A8"/>
    <w:rsid w:val="00313C94"/>
    <w:rsid w:val="003172DC"/>
    <w:rsid w:val="00325AE3"/>
    <w:rsid w:val="00326069"/>
    <w:rsid w:val="0033070F"/>
    <w:rsid w:val="0033366D"/>
    <w:rsid w:val="00341A79"/>
    <w:rsid w:val="00342FE9"/>
    <w:rsid w:val="0035462D"/>
    <w:rsid w:val="00354669"/>
    <w:rsid w:val="00357BBC"/>
    <w:rsid w:val="003607F5"/>
    <w:rsid w:val="00360CDC"/>
    <w:rsid w:val="0036459E"/>
    <w:rsid w:val="00364B41"/>
    <w:rsid w:val="003674F6"/>
    <w:rsid w:val="003820E0"/>
    <w:rsid w:val="00383096"/>
    <w:rsid w:val="00385D04"/>
    <w:rsid w:val="0039076F"/>
    <w:rsid w:val="0039346C"/>
    <w:rsid w:val="003A41EF"/>
    <w:rsid w:val="003A7CE4"/>
    <w:rsid w:val="003B0FDC"/>
    <w:rsid w:val="003B40AD"/>
    <w:rsid w:val="003B475C"/>
    <w:rsid w:val="003B505F"/>
    <w:rsid w:val="003B60AB"/>
    <w:rsid w:val="003C14BD"/>
    <w:rsid w:val="003C4E37"/>
    <w:rsid w:val="003D21E9"/>
    <w:rsid w:val="003E16BE"/>
    <w:rsid w:val="003F4E28"/>
    <w:rsid w:val="003F6C2D"/>
    <w:rsid w:val="004006E8"/>
    <w:rsid w:val="00401855"/>
    <w:rsid w:val="004078E5"/>
    <w:rsid w:val="004111B6"/>
    <w:rsid w:val="004114E8"/>
    <w:rsid w:val="00425DB2"/>
    <w:rsid w:val="00426812"/>
    <w:rsid w:val="00436097"/>
    <w:rsid w:val="00456239"/>
    <w:rsid w:val="00460F35"/>
    <w:rsid w:val="00462B7E"/>
    <w:rsid w:val="00464670"/>
    <w:rsid w:val="00465587"/>
    <w:rsid w:val="00465DF1"/>
    <w:rsid w:val="00473DD5"/>
    <w:rsid w:val="004757CB"/>
    <w:rsid w:val="00477455"/>
    <w:rsid w:val="00480C90"/>
    <w:rsid w:val="00481776"/>
    <w:rsid w:val="00492E58"/>
    <w:rsid w:val="00493A22"/>
    <w:rsid w:val="004970CD"/>
    <w:rsid w:val="004A1F7B"/>
    <w:rsid w:val="004A70AD"/>
    <w:rsid w:val="004B16C0"/>
    <w:rsid w:val="004C44D2"/>
    <w:rsid w:val="004C5551"/>
    <w:rsid w:val="004C6DB3"/>
    <w:rsid w:val="004D3578"/>
    <w:rsid w:val="004D380D"/>
    <w:rsid w:val="004D6FCF"/>
    <w:rsid w:val="004E213A"/>
    <w:rsid w:val="00503171"/>
    <w:rsid w:val="00506C28"/>
    <w:rsid w:val="00507CCA"/>
    <w:rsid w:val="005103C7"/>
    <w:rsid w:val="00511C76"/>
    <w:rsid w:val="00514898"/>
    <w:rsid w:val="00515D76"/>
    <w:rsid w:val="00516CA2"/>
    <w:rsid w:val="00520195"/>
    <w:rsid w:val="00521748"/>
    <w:rsid w:val="00534DA0"/>
    <w:rsid w:val="00534DE0"/>
    <w:rsid w:val="00535CE7"/>
    <w:rsid w:val="0054216F"/>
    <w:rsid w:val="0054249A"/>
    <w:rsid w:val="00543E6C"/>
    <w:rsid w:val="00547081"/>
    <w:rsid w:val="00562DB1"/>
    <w:rsid w:val="00565087"/>
    <w:rsid w:val="0056573F"/>
    <w:rsid w:val="00572DF6"/>
    <w:rsid w:val="005826C0"/>
    <w:rsid w:val="005830D7"/>
    <w:rsid w:val="0059099C"/>
    <w:rsid w:val="005A49C6"/>
    <w:rsid w:val="005A6CEA"/>
    <w:rsid w:val="005A7C3A"/>
    <w:rsid w:val="005B2B39"/>
    <w:rsid w:val="005B5644"/>
    <w:rsid w:val="005B6B6C"/>
    <w:rsid w:val="005B7B6D"/>
    <w:rsid w:val="005D5244"/>
    <w:rsid w:val="005F39C8"/>
    <w:rsid w:val="005F51D0"/>
    <w:rsid w:val="0060677B"/>
    <w:rsid w:val="00606FA0"/>
    <w:rsid w:val="00607299"/>
    <w:rsid w:val="00611566"/>
    <w:rsid w:val="00615C04"/>
    <w:rsid w:val="006247C7"/>
    <w:rsid w:val="0062568C"/>
    <w:rsid w:val="00633109"/>
    <w:rsid w:val="00636C53"/>
    <w:rsid w:val="00637032"/>
    <w:rsid w:val="00646D99"/>
    <w:rsid w:val="00656910"/>
    <w:rsid w:val="006574C0"/>
    <w:rsid w:val="006611FD"/>
    <w:rsid w:val="006615C6"/>
    <w:rsid w:val="00663DDD"/>
    <w:rsid w:val="0066787F"/>
    <w:rsid w:val="00675090"/>
    <w:rsid w:val="00681D4C"/>
    <w:rsid w:val="0069326F"/>
    <w:rsid w:val="00693FC2"/>
    <w:rsid w:val="006A2807"/>
    <w:rsid w:val="006B5229"/>
    <w:rsid w:val="006C1279"/>
    <w:rsid w:val="006C3E40"/>
    <w:rsid w:val="006C66D8"/>
    <w:rsid w:val="006D1B7E"/>
    <w:rsid w:val="006D1E24"/>
    <w:rsid w:val="006D298A"/>
    <w:rsid w:val="006E1417"/>
    <w:rsid w:val="006F6A2C"/>
    <w:rsid w:val="006F793B"/>
    <w:rsid w:val="007069DC"/>
    <w:rsid w:val="00707E36"/>
    <w:rsid w:val="00710201"/>
    <w:rsid w:val="00711ED3"/>
    <w:rsid w:val="0072073A"/>
    <w:rsid w:val="00727E96"/>
    <w:rsid w:val="007342B5"/>
    <w:rsid w:val="00734A5B"/>
    <w:rsid w:val="00741BB5"/>
    <w:rsid w:val="00744E76"/>
    <w:rsid w:val="00745DA7"/>
    <w:rsid w:val="00746D62"/>
    <w:rsid w:val="007525BF"/>
    <w:rsid w:val="007555F4"/>
    <w:rsid w:val="00757D40"/>
    <w:rsid w:val="007643E8"/>
    <w:rsid w:val="0076479B"/>
    <w:rsid w:val="007662B5"/>
    <w:rsid w:val="0077365C"/>
    <w:rsid w:val="00780246"/>
    <w:rsid w:val="00781F0F"/>
    <w:rsid w:val="00785856"/>
    <w:rsid w:val="0078727C"/>
    <w:rsid w:val="0079049D"/>
    <w:rsid w:val="007937CF"/>
    <w:rsid w:val="00793DC5"/>
    <w:rsid w:val="00795B3C"/>
    <w:rsid w:val="00797A8B"/>
    <w:rsid w:val="007A11DD"/>
    <w:rsid w:val="007A1210"/>
    <w:rsid w:val="007A198F"/>
    <w:rsid w:val="007A4939"/>
    <w:rsid w:val="007A61B7"/>
    <w:rsid w:val="007B18D8"/>
    <w:rsid w:val="007B4FE6"/>
    <w:rsid w:val="007C095F"/>
    <w:rsid w:val="007C2DD0"/>
    <w:rsid w:val="007C65B8"/>
    <w:rsid w:val="007C7A8F"/>
    <w:rsid w:val="007D5950"/>
    <w:rsid w:val="007D6390"/>
    <w:rsid w:val="007E3388"/>
    <w:rsid w:val="007E551C"/>
    <w:rsid w:val="007F0EF1"/>
    <w:rsid w:val="007F2E08"/>
    <w:rsid w:val="008028A4"/>
    <w:rsid w:val="008054E1"/>
    <w:rsid w:val="00813245"/>
    <w:rsid w:val="00817B48"/>
    <w:rsid w:val="00824D44"/>
    <w:rsid w:val="00840DE0"/>
    <w:rsid w:val="0084652D"/>
    <w:rsid w:val="008620A7"/>
    <w:rsid w:val="0086354A"/>
    <w:rsid w:val="00866571"/>
    <w:rsid w:val="00866823"/>
    <w:rsid w:val="008768CA"/>
    <w:rsid w:val="00877EF9"/>
    <w:rsid w:val="00880559"/>
    <w:rsid w:val="00880F97"/>
    <w:rsid w:val="00887B2C"/>
    <w:rsid w:val="0089695C"/>
    <w:rsid w:val="008B114B"/>
    <w:rsid w:val="008B5306"/>
    <w:rsid w:val="008B6777"/>
    <w:rsid w:val="008B6D02"/>
    <w:rsid w:val="008C2E2A"/>
    <w:rsid w:val="008C3057"/>
    <w:rsid w:val="008C667D"/>
    <w:rsid w:val="008D0951"/>
    <w:rsid w:val="008D2E4D"/>
    <w:rsid w:val="008E51EF"/>
    <w:rsid w:val="008E70CD"/>
    <w:rsid w:val="008F03C5"/>
    <w:rsid w:val="008F396F"/>
    <w:rsid w:val="008F3DCD"/>
    <w:rsid w:val="008F707F"/>
    <w:rsid w:val="008F7CEC"/>
    <w:rsid w:val="0090271F"/>
    <w:rsid w:val="00902DB9"/>
    <w:rsid w:val="0090466A"/>
    <w:rsid w:val="00923655"/>
    <w:rsid w:val="00926190"/>
    <w:rsid w:val="00936071"/>
    <w:rsid w:val="009376CD"/>
    <w:rsid w:val="00940212"/>
    <w:rsid w:val="00940D8F"/>
    <w:rsid w:val="00942EC2"/>
    <w:rsid w:val="00943910"/>
    <w:rsid w:val="00961B32"/>
    <w:rsid w:val="00962509"/>
    <w:rsid w:val="009648BA"/>
    <w:rsid w:val="00970113"/>
    <w:rsid w:val="00970543"/>
    <w:rsid w:val="00970DB3"/>
    <w:rsid w:val="00974BB0"/>
    <w:rsid w:val="00975BCD"/>
    <w:rsid w:val="00976DA6"/>
    <w:rsid w:val="009928A9"/>
    <w:rsid w:val="009930FD"/>
    <w:rsid w:val="00997DB2"/>
    <w:rsid w:val="009A0AF3"/>
    <w:rsid w:val="009A6377"/>
    <w:rsid w:val="009B07CD"/>
    <w:rsid w:val="009C19E9"/>
    <w:rsid w:val="009D16A6"/>
    <w:rsid w:val="009D74A6"/>
    <w:rsid w:val="009E0E87"/>
    <w:rsid w:val="009E4132"/>
    <w:rsid w:val="009F1CCF"/>
    <w:rsid w:val="00A015C2"/>
    <w:rsid w:val="00A10F02"/>
    <w:rsid w:val="00A204CA"/>
    <w:rsid w:val="00A209D6"/>
    <w:rsid w:val="00A23F22"/>
    <w:rsid w:val="00A37CB7"/>
    <w:rsid w:val="00A46F68"/>
    <w:rsid w:val="00A53724"/>
    <w:rsid w:val="00A53742"/>
    <w:rsid w:val="00A54B2B"/>
    <w:rsid w:val="00A55B05"/>
    <w:rsid w:val="00A61A9A"/>
    <w:rsid w:val="00A61C2A"/>
    <w:rsid w:val="00A6619B"/>
    <w:rsid w:val="00A665CC"/>
    <w:rsid w:val="00A82346"/>
    <w:rsid w:val="00A83379"/>
    <w:rsid w:val="00A83735"/>
    <w:rsid w:val="00A8373B"/>
    <w:rsid w:val="00A85402"/>
    <w:rsid w:val="00A85784"/>
    <w:rsid w:val="00A9671C"/>
    <w:rsid w:val="00A977AE"/>
    <w:rsid w:val="00A97FBE"/>
    <w:rsid w:val="00AA1553"/>
    <w:rsid w:val="00AA71C9"/>
    <w:rsid w:val="00AA7D68"/>
    <w:rsid w:val="00AB262F"/>
    <w:rsid w:val="00AC1509"/>
    <w:rsid w:val="00AC1A43"/>
    <w:rsid w:val="00AD3E62"/>
    <w:rsid w:val="00AD6969"/>
    <w:rsid w:val="00AD7EDB"/>
    <w:rsid w:val="00AF3260"/>
    <w:rsid w:val="00AF4E60"/>
    <w:rsid w:val="00AF6E70"/>
    <w:rsid w:val="00B05380"/>
    <w:rsid w:val="00B05962"/>
    <w:rsid w:val="00B14B0D"/>
    <w:rsid w:val="00B15449"/>
    <w:rsid w:val="00B16C2F"/>
    <w:rsid w:val="00B17883"/>
    <w:rsid w:val="00B27303"/>
    <w:rsid w:val="00B313A1"/>
    <w:rsid w:val="00B45BF7"/>
    <w:rsid w:val="00B47FD1"/>
    <w:rsid w:val="00B516BB"/>
    <w:rsid w:val="00B54F42"/>
    <w:rsid w:val="00B56C1F"/>
    <w:rsid w:val="00B62112"/>
    <w:rsid w:val="00B6242F"/>
    <w:rsid w:val="00B624D9"/>
    <w:rsid w:val="00B83BC8"/>
    <w:rsid w:val="00B84DB2"/>
    <w:rsid w:val="00B96A43"/>
    <w:rsid w:val="00B96F62"/>
    <w:rsid w:val="00B97F93"/>
    <w:rsid w:val="00BA3D5A"/>
    <w:rsid w:val="00BC3141"/>
    <w:rsid w:val="00BC335D"/>
    <w:rsid w:val="00BC3555"/>
    <w:rsid w:val="00BD05C0"/>
    <w:rsid w:val="00BE0B76"/>
    <w:rsid w:val="00C01944"/>
    <w:rsid w:val="00C04967"/>
    <w:rsid w:val="00C11BD7"/>
    <w:rsid w:val="00C12B51"/>
    <w:rsid w:val="00C14A5D"/>
    <w:rsid w:val="00C20214"/>
    <w:rsid w:val="00C211B0"/>
    <w:rsid w:val="00C24650"/>
    <w:rsid w:val="00C25465"/>
    <w:rsid w:val="00C33079"/>
    <w:rsid w:val="00C52EDB"/>
    <w:rsid w:val="00C55D8F"/>
    <w:rsid w:val="00C80AF9"/>
    <w:rsid w:val="00C83A13"/>
    <w:rsid w:val="00C9068C"/>
    <w:rsid w:val="00C92967"/>
    <w:rsid w:val="00C950DE"/>
    <w:rsid w:val="00C961B2"/>
    <w:rsid w:val="00CA0367"/>
    <w:rsid w:val="00CA3D0C"/>
    <w:rsid w:val="00CA5DF5"/>
    <w:rsid w:val="00CA654B"/>
    <w:rsid w:val="00CA7294"/>
    <w:rsid w:val="00CB07CD"/>
    <w:rsid w:val="00CB5029"/>
    <w:rsid w:val="00CB72B8"/>
    <w:rsid w:val="00CD4C7B"/>
    <w:rsid w:val="00CD58FE"/>
    <w:rsid w:val="00CD7A5D"/>
    <w:rsid w:val="00CE1508"/>
    <w:rsid w:val="00CF15D9"/>
    <w:rsid w:val="00CF76DC"/>
    <w:rsid w:val="00D0180C"/>
    <w:rsid w:val="00D06827"/>
    <w:rsid w:val="00D241B2"/>
    <w:rsid w:val="00D27317"/>
    <w:rsid w:val="00D33BE3"/>
    <w:rsid w:val="00D36E35"/>
    <w:rsid w:val="00D3792D"/>
    <w:rsid w:val="00D45285"/>
    <w:rsid w:val="00D46DCD"/>
    <w:rsid w:val="00D5575A"/>
    <w:rsid w:val="00D55E47"/>
    <w:rsid w:val="00D56C08"/>
    <w:rsid w:val="00D62E19"/>
    <w:rsid w:val="00D64E65"/>
    <w:rsid w:val="00D67AC4"/>
    <w:rsid w:val="00D67CD1"/>
    <w:rsid w:val="00D738D6"/>
    <w:rsid w:val="00D75071"/>
    <w:rsid w:val="00D753D6"/>
    <w:rsid w:val="00D77496"/>
    <w:rsid w:val="00D80795"/>
    <w:rsid w:val="00D854BE"/>
    <w:rsid w:val="00D85D6F"/>
    <w:rsid w:val="00D86CAE"/>
    <w:rsid w:val="00D87E00"/>
    <w:rsid w:val="00D9134D"/>
    <w:rsid w:val="00D96D11"/>
    <w:rsid w:val="00D97BDA"/>
    <w:rsid w:val="00DA321D"/>
    <w:rsid w:val="00DA7A03"/>
    <w:rsid w:val="00DB0C3A"/>
    <w:rsid w:val="00DB0DB8"/>
    <w:rsid w:val="00DB1818"/>
    <w:rsid w:val="00DB5704"/>
    <w:rsid w:val="00DC309B"/>
    <w:rsid w:val="00DC4DA2"/>
    <w:rsid w:val="00DC5261"/>
    <w:rsid w:val="00DD1444"/>
    <w:rsid w:val="00DE25D2"/>
    <w:rsid w:val="00DE4F87"/>
    <w:rsid w:val="00E01572"/>
    <w:rsid w:val="00E0402A"/>
    <w:rsid w:val="00E0503B"/>
    <w:rsid w:val="00E15BEE"/>
    <w:rsid w:val="00E268FD"/>
    <w:rsid w:val="00E45433"/>
    <w:rsid w:val="00E46581"/>
    <w:rsid w:val="00E46C08"/>
    <w:rsid w:val="00E471CF"/>
    <w:rsid w:val="00E4791B"/>
    <w:rsid w:val="00E56DC3"/>
    <w:rsid w:val="00E62835"/>
    <w:rsid w:val="00E63F3C"/>
    <w:rsid w:val="00E67B30"/>
    <w:rsid w:val="00E73397"/>
    <w:rsid w:val="00E754F9"/>
    <w:rsid w:val="00E77645"/>
    <w:rsid w:val="00E83697"/>
    <w:rsid w:val="00E85160"/>
    <w:rsid w:val="00E93A54"/>
    <w:rsid w:val="00E95D8D"/>
    <w:rsid w:val="00E96B7B"/>
    <w:rsid w:val="00EA0571"/>
    <w:rsid w:val="00EA30A0"/>
    <w:rsid w:val="00EA66C9"/>
    <w:rsid w:val="00EA7977"/>
    <w:rsid w:val="00EB2C70"/>
    <w:rsid w:val="00EC37AE"/>
    <w:rsid w:val="00EC4A25"/>
    <w:rsid w:val="00EE471F"/>
    <w:rsid w:val="00EE5C7E"/>
    <w:rsid w:val="00EE661E"/>
    <w:rsid w:val="00EF34FE"/>
    <w:rsid w:val="00EF3A1D"/>
    <w:rsid w:val="00EF5673"/>
    <w:rsid w:val="00EF6032"/>
    <w:rsid w:val="00F00A16"/>
    <w:rsid w:val="00F00A97"/>
    <w:rsid w:val="00F025A2"/>
    <w:rsid w:val="00F036E9"/>
    <w:rsid w:val="00F070F1"/>
    <w:rsid w:val="00F07388"/>
    <w:rsid w:val="00F1494B"/>
    <w:rsid w:val="00F15A3E"/>
    <w:rsid w:val="00F2026E"/>
    <w:rsid w:val="00F2210A"/>
    <w:rsid w:val="00F32AE6"/>
    <w:rsid w:val="00F37743"/>
    <w:rsid w:val="00F54A3D"/>
    <w:rsid w:val="00F54CB0"/>
    <w:rsid w:val="00F579CD"/>
    <w:rsid w:val="00F65324"/>
    <w:rsid w:val="00F653B8"/>
    <w:rsid w:val="00F6664A"/>
    <w:rsid w:val="00F71B89"/>
    <w:rsid w:val="00F7353C"/>
    <w:rsid w:val="00F76202"/>
    <w:rsid w:val="00F76F8F"/>
    <w:rsid w:val="00F856A9"/>
    <w:rsid w:val="00F941DF"/>
    <w:rsid w:val="00FA1266"/>
    <w:rsid w:val="00FA6294"/>
    <w:rsid w:val="00FB36FA"/>
    <w:rsid w:val="00FB5D9C"/>
    <w:rsid w:val="00FC1192"/>
    <w:rsid w:val="00FC347A"/>
    <w:rsid w:val="00FC3639"/>
    <w:rsid w:val="00FC7C84"/>
    <w:rsid w:val="00FD021C"/>
    <w:rsid w:val="00FD25BA"/>
    <w:rsid w:val="00FD26FF"/>
    <w:rsid w:val="00FD34DB"/>
    <w:rsid w:val="00FD5773"/>
    <w:rsid w:val="00FE0FF5"/>
    <w:rsid w:val="00FE251B"/>
    <w:rsid w:val="00FF513D"/>
    <w:rsid w:val="67EDF1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28D31D71-9042-4E6E-98C4-D83B290FE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35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B62112"/>
    <w:pPr>
      <w:ind w:left="720"/>
      <w:contextualSpacing/>
    </w:pPr>
  </w:style>
  <w:style w:type="character" w:styleId="FollowedHyperlink">
    <w:name w:val="FollowedHyperlink"/>
    <w:basedOn w:val="DefaultParagraphFont"/>
    <w:rsid w:val="00354669"/>
    <w:rPr>
      <w:color w:val="954F72" w:themeColor="followedHyperlink"/>
      <w:u w:val="single"/>
    </w:rPr>
  </w:style>
  <w:style w:type="character" w:styleId="CommentReference">
    <w:name w:val="annotation reference"/>
    <w:basedOn w:val="DefaultParagraphFont"/>
    <w:rsid w:val="00D97BDA"/>
    <w:rPr>
      <w:sz w:val="16"/>
      <w:szCs w:val="16"/>
    </w:rPr>
  </w:style>
  <w:style w:type="paragraph" w:styleId="CommentText">
    <w:name w:val="annotation text"/>
    <w:basedOn w:val="Normal"/>
    <w:link w:val="CommentTextChar"/>
    <w:rsid w:val="00D97BDA"/>
  </w:style>
  <w:style w:type="character" w:customStyle="1" w:styleId="CommentTextChar">
    <w:name w:val="Comment Text Char"/>
    <w:basedOn w:val="DefaultParagraphFont"/>
    <w:link w:val="CommentText"/>
    <w:rsid w:val="00D97BDA"/>
    <w:rPr>
      <w:lang w:eastAsia="en-US"/>
    </w:rPr>
  </w:style>
  <w:style w:type="paragraph" w:styleId="CommentSubject">
    <w:name w:val="annotation subject"/>
    <w:basedOn w:val="CommentText"/>
    <w:next w:val="CommentText"/>
    <w:link w:val="CommentSubjectChar"/>
    <w:rsid w:val="00D97BDA"/>
    <w:rPr>
      <w:b/>
      <w:bCs/>
    </w:rPr>
  </w:style>
  <w:style w:type="character" w:customStyle="1" w:styleId="CommentSubjectChar">
    <w:name w:val="Comment Subject Char"/>
    <w:basedOn w:val="CommentTextChar"/>
    <w:link w:val="CommentSubject"/>
    <w:rsid w:val="00D97BDA"/>
    <w:rPr>
      <w:b/>
      <w:bCs/>
      <w:lang w:eastAsia="en-US"/>
    </w:rPr>
  </w:style>
  <w:style w:type="character" w:styleId="Mention">
    <w:name w:val="Mention"/>
    <w:basedOn w:val="DefaultParagraphFont"/>
    <w:uiPriority w:val="99"/>
    <w:unhideWhenUsed/>
    <w:rsid w:val="00167C37"/>
    <w:rPr>
      <w:color w:val="2B579A"/>
      <w:shd w:val="clear" w:color="auto" w:fill="E1DFDD"/>
    </w:rPr>
  </w:style>
  <w:style w:type="table" w:styleId="TableGrid">
    <w:name w:val="Table Grid"/>
    <w:basedOn w:val="TableNormal"/>
    <w:rsid w:val="00A85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6479B"/>
    <w:rPr>
      <w:lang w:eastAsia="en-US"/>
    </w:rPr>
  </w:style>
  <w:style w:type="character" w:customStyle="1" w:styleId="Heading2Char">
    <w:name w:val="Heading 2 Char"/>
    <w:basedOn w:val="DefaultParagraphFont"/>
    <w:link w:val="Heading2"/>
    <w:rsid w:val="00741BB5"/>
    <w:rPr>
      <w:rFonts w:ascii="Arial" w:hAnsi="Arial"/>
      <w:sz w:val="32"/>
      <w:lang w:eastAsia="en-US"/>
    </w:rPr>
  </w:style>
  <w:style w:type="paragraph" w:styleId="Caption">
    <w:name w:val="caption"/>
    <w:basedOn w:val="Normal"/>
    <w:next w:val="Normal"/>
    <w:unhideWhenUsed/>
    <w:qFormat/>
    <w:rsid w:val="00313C9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61716">
      <w:bodyDiv w:val="1"/>
      <w:marLeft w:val="0"/>
      <w:marRight w:val="0"/>
      <w:marTop w:val="0"/>
      <w:marBottom w:val="0"/>
      <w:divBdr>
        <w:top w:val="none" w:sz="0" w:space="0" w:color="auto"/>
        <w:left w:val="none" w:sz="0" w:space="0" w:color="auto"/>
        <w:bottom w:val="none" w:sz="0" w:space="0" w:color="auto"/>
        <w:right w:val="none" w:sz="0" w:space="0" w:color="auto"/>
      </w:divBdr>
    </w:div>
    <w:div w:id="49495305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328542">
      <w:bodyDiv w:val="1"/>
      <w:marLeft w:val="0"/>
      <w:marRight w:val="0"/>
      <w:marTop w:val="0"/>
      <w:marBottom w:val="0"/>
      <w:divBdr>
        <w:top w:val="none" w:sz="0" w:space="0" w:color="auto"/>
        <w:left w:val="none" w:sz="0" w:space="0" w:color="auto"/>
        <w:bottom w:val="none" w:sz="0" w:space="0" w:color="auto"/>
        <w:right w:val="none" w:sz="0" w:space="0" w:color="auto"/>
      </w:divBdr>
    </w:div>
    <w:div w:id="1984695976">
      <w:bodyDiv w:val="1"/>
      <w:marLeft w:val="0"/>
      <w:marRight w:val="0"/>
      <w:marTop w:val="0"/>
      <w:marBottom w:val="0"/>
      <w:divBdr>
        <w:top w:val="none" w:sz="0" w:space="0" w:color="auto"/>
        <w:left w:val="none" w:sz="0" w:space="0" w:color="auto"/>
        <w:bottom w:val="none" w:sz="0" w:space="0" w:color="auto"/>
        <w:right w:val="none" w:sz="0" w:space="0" w:color="auto"/>
      </w:divBdr>
      <w:divsChild>
        <w:div w:id="657881236">
          <w:marLeft w:val="360"/>
          <w:marRight w:val="0"/>
          <w:marTop w:val="200"/>
          <w:marBottom w:val="0"/>
          <w:divBdr>
            <w:top w:val="none" w:sz="0" w:space="0" w:color="auto"/>
            <w:left w:val="none" w:sz="0" w:space="0" w:color="auto"/>
            <w:bottom w:val="none" w:sz="0" w:space="0" w:color="auto"/>
            <w:right w:val="none" w:sz="0" w:space="0" w:color="auto"/>
          </w:divBdr>
        </w:div>
        <w:div w:id="1761101989">
          <w:marLeft w:val="360"/>
          <w:marRight w:val="0"/>
          <w:marTop w:val="200"/>
          <w:marBottom w:val="0"/>
          <w:divBdr>
            <w:top w:val="none" w:sz="0" w:space="0" w:color="auto"/>
            <w:left w:val="none" w:sz="0" w:space="0" w:color="auto"/>
            <w:bottom w:val="none" w:sz="0" w:space="0" w:color="auto"/>
            <w:right w:val="none" w:sz="0" w:space="0" w:color="auto"/>
          </w:divBdr>
        </w:div>
        <w:div w:id="188659864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RP-193252.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11-e/Docs/R2-200756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3gpp.org/ftp/TSG_RAN/WG2_RL2/TSGR2_111-e/Docs/R2-2007564.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Inbox/RP-193252.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5AIRPNAIUNRU-859666464-7191</_dlc_DocId>
    <_dlc_DocIdUrl xmlns="71c5aaf6-e6ce-465b-b873-5148d2a4c105">
      <Url>https://nokia.sharepoint.com/sites/c5g/e2earch/_layouts/15/DocIdRedir.aspx?ID=5AIRPNAIUNRU-859666464-7191</Url>
      <Description>5AIRPNAIUNRU-859666464-7191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E1E60-E3C0-4ECC-86F6-ACED1E1265C4}">
  <ds:schemaRefs>
    <ds:schemaRef ds:uri="http://schemas.microsoft.com/sharepoint/events"/>
  </ds:schemaRefs>
</ds:datastoreItem>
</file>

<file path=customXml/itemProps2.xml><?xml version="1.0" encoding="utf-8"?>
<ds:datastoreItem xmlns:ds="http://schemas.openxmlformats.org/officeDocument/2006/customXml" ds:itemID="{C7C10452-54E6-4B36-9C74-41B5AD05D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C0F53E5-93B6-42F0-BBB7-89031291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1903</Words>
  <Characters>10626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2020-08-07T05:24:00Z</dcterms:created>
  <dcterms:modified xsi:type="dcterms:W3CDTF">2020-08-07T05:36:00Z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69e6723f-caa1-42f7-9b0c-5ed92957b31e</vt:lpwstr>
  </property>
</Properties>
</file>